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9F" w:rsidRDefault="00C16D95" w:rsidP="00A80528">
      <w:r>
        <w:t xml:space="preserve"> </w:t>
      </w:r>
    </w:p>
    <w:tbl>
      <w:tblPr>
        <w:tblpPr w:leftFromText="180" w:rightFromText="180" w:vertAnchor="text" w:horzAnchor="margin" w:tblpY="-358"/>
        <w:tblOverlap w:val="never"/>
        <w:tblW w:w="9180" w:type="dxa"/>
        <w:tblLayout w:type="fixed"/>
        <w:tblLook w:val="0600" w:firstRow="0" w:lastRow="0" w:firstColumn="0" w:lastColumn="0" w:noHBand="1" w:noVBand="1"/>
      </w:tblPr>
      <w:tblGrid>
        <w:gridCol w:w="9180"/>
      </w:tblGrid>
      <w:tr w:rsidR="00C7689F" w:rsidRPr="002E5A01" w:rsidTr="00C7689F">
        <w:trPr>
          <w:trHeight w:val="990"/>
        </w:trPr>
        <w:tc>
          <w:tcPr>
            <w:tcW w:w="9180" w:type="dxa"/>
            <w:hideMark/>
          </w:tcPr>
          <w:p w:rsidR="00C7689F" w:rsidRPr="002E5A01" w:rsidRDefault="00C7689F" w:rsidP="000A2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4"/>
                <w:lang w:val="hr-HR"/>
              </w:rPr>
            </w:pPr>
            <w:r w:rsidRPr="002E5A01">
              <w:rPr>
                <w:rFonts w:ascii="Times New Roman" w:eastAsia="Times New Roman" w:hAnsi="Times New Roman"/>
                <w:noProof/>
                <w:lang w:val="hr-HR"/>
              </w:rPr>
              <w:t xml:space="preserve">        </w:t>
            </w:r>
            <w:r w:rsidRPr="002E5A01">
              <w:rPr>
                <w:rFonts w:ascii="Times New Roman" w:eastAsia="Times New Roman" w:hAnsi="Times New Roman"/>
                <w:noProof/>
                <w:lang w:val="hr-HR" w:eastAsia="hr-HR"/>
              </w:rPr>
              <w:drawing>
                <wp:anchor distT="0" distB="0" distL="114300" distR="114300" simplePos="0" relativeHeight="251661312" behindDoc="1" locked="0" layoutInCell="1" allowOverlap="1" wp14:anchorId="1D0FF93F" wp14:editId="08D9AA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468000" cy="601200"/>
                  <wp:effectExtent l="0" t="0" r="8255" b="8890"/>
                  <wp:wrapTight wrapText="bothSides">
                    <wp:wrapPolygon edited="0">
                      <wp:start x="3517" y="0"/>
                      <wp:lineTo x="0" y="0"/>
                      <wp:lineTo x="0" y="15755"/>
                      <wp:lineTo x="3517" y="21235"/>
                      <wp:lineTo x="7034" y="21235"/>
                      <wp:lineTo x="14068" y="21235"/>
                      <wp:lineTo x="17585" y="21235"/>
                      <wp:lineTo x="20223" y="15755"/>
                      <wp:lineTo x="21102" y="3425"/>
                      <wp:lineTo x="21102" y="0"/>
                      <wp:lineTo x="16706" y="0"/>
                      <wp:lineTo x="351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689F" w:rsidRPr="002E5A01" w:rsidTr="00C7689F">
        <w:tc>
          <w:tcPr>
            <w:tcW w:w="9180" w:type="dxa"/>
            <w:hideMark/>
          </w:tcPr>
          <w:p w:rsidR="00C7689F" w:rsidRPr="002E5A01" w:rsidRDefault="00C7689F" w:rsidP="000A2A7F">
            <w:pPr>
              <w:spacing w:after="0" w:line="240" w:lineRule="auto"/>
              <w:ind w:right="-4218"/>
              <w:rPr>
                <w:rFonts w:ascii="Times New Roman" w:eastAsia="Times New Roman" w:hAnsi="Times New Roman"/>
                <w:b/>
                <w:noProof/>
                <w:lang w:val="hr-HR"/>
              </w:rPr>
            </w:pPr>
            <w:r w:rsidRPr="002E5A01">
              <w:rPr>
                <w:rFonts w:ascii="Times New Roman" w:eastAsia="Times New Roman" w:hAnsi="Times New Roman"/>
                <w:b/>
                <w:lang w:val="hr-HR"/>
              </w:rPr>
              <w:t xml:space="preserve">                                                          REPUBLIKA HRVATSKA</w:t>
            </w:r>
          </w:p>
        </w:tc>
      </w:tr>
      <w:tr w:rsidR="00C7689F" w:rsidRPr="002E5A01" w:rsidTr="00C7689F">
        <w:tc>
          <w:tcPr>
            <w:tcW w:w="9180" w:type="dxa"/>
            <w:hideMark/>
          </w:tcPr>
          <w:p w:rsidR="00C7689F" w:rsidRPr="002E5A01" w:rsidRDefault="00C7689F" w:rsidP="000A2A7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lang w:val="hr-HR"/>
              </w:rPr>
            </w:pPr>
            <w:r w:rsidRPr="002E5A01">
              <w:rPr>
                <w:rFonts w:ascii="Times New Roman" w:eastAsia="Times New Roman" w:hAnsi="Times New Roman"/>
                <w:b/>
                <w:bCs/>
                <w:lang w:val="hr-HR"/>
              </w:rPr>
              <w:t xml:space="preserve">      MINISTARSTVO MORA, PROMETA I INFRASTRUKTURE</w:t>
            </w:r>
          </w:p>
        </w:tc>
      </w:tr>
      <w:tr w:rsidR="00C7689F" w:rsidRPr="002E5A01" w:rsidTr="00C7689F">
        <w:tc>
          <w:tcPr>
            <w:tcW w:w="9180" w:type="dxa"/>
            <w:hideMark/>
          </w:tcPr>
          <w:p w:rsidR="00C7689F" w:rsidRPr="002E5A01" w:rsidRDefault="00C7689F" w:rsidP="000A2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hr-HR"/>
              </w:rPr>
            </w:pPr>
            <w:r w:rsidRPr="002E5A01">
              <w:rPr>
                <w:rFonts w:ascii="Times New Roman" w:eastAsia="Times New Roman" w:hAnsi="Times New Roman"/>
                <w:b/>
                <w:lang w:val="hr-HR"/>
              </w:rPr>
              <w:t xml:space="preserve">   UPRAVA SIGURNOSTI PLOVIDBE</w:t>
            </w:r>
          </w:p>
        </w:tc>
      </w:tr>
    </w:tbl>
    <w:p w:rsidR="00C7689F" w:rsidRPr="002E5A01" w:rsidRDefault="00C7689F" w:rsidP="00C7689F">
      <w:pPr>
        <w:spacing w:after="0" w:line="240" w:lineRule="auto"/>
        <w:jc w:val="both"/>
        <w:rPr>
          <w:rFonts w:eastAsia="Times New Roman" w:cs="Arial"/>
          <w:lang w:val="hr-HR" w:eastAsia="hr-HR"/>
        </w:rPr>
      </w:pPr>
    </w:p>
    <w:p w:rsidR="00C7689F" w:rsidRPr="002E5A01" w:rsidRDefault="00E43931" w:rsidP="00C768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hr-HR" w:eastAsia="hr-HR"/>
        </w:rPr>
      </w:pPr>
      <w:r>
        <w:rPr>
          <w:rFonts w:eastAsia="Times New Roman" w:cs="Arial"/>
          <w:lang w:val="hr-HR" w:eastAsia="hr-HR"/>
        </w:rPr>
        <w:pict w14:anchorId="3A276535">
          <v:rect id="_x0000_i1025" style="width:.05pt;height:1.5pt" o:hralign="center" o:hrstd="t" o:hr="t" fillcolor="#a0a0a0" stroked="f"/>
        </w:pict>
      </w:r>
      <w:r w:rsidR="00C7689F" w:rsidRPr="002E5A01">
        <w:rPr>
          <w:rFonts w:ascii="Times New Roman" w:eastAsia="Times New Roman" w:hAnsi="Times New Roman"/>
          <w:b/>
          <w:color w:val="000000" w:themeColor="text1"/>
          <w:lang w:val="hr-HR" w:eastAsia="hr-HR"/>
        </w:rPr>
        <w:t>Godišnje izvješće o akcijama traganja i spašavanja na moru u 202</w:t>
      </w:r>
      <w:r w:rsidR="00C7689F">
        <w:rPr>
          <w:rFonts w:ascii="Times New Roman" w:eastAsia="Times New Roman" w:hAnsi="Times New Roman"/>
          <w:b/>
          <w:color w:val="000000" w:themeColor="text1"/>
          <w:lang w:val="hr-HR" w:eastAsia="hr-HR"/>
        </w:rPr>
        <w:t>2</w:t>
      </w:r>
      <w:r w:rsidR="00C7689F" w:rsidRPr="002E5A01">
        <w:rPr>
          <w:rFonts w:ascii="Times New Roman" w:eastAsia="Times New Roman" w:hAnsi="Times New Roman"/>
          <w:b/>
          <w:color w:val="000000" w:themeColor="text1"/>
          <w:lang w:val="hr-HR" w:eastAsia="hr-HR"/>
        </w:rPr>
        <w:t>.</w:t>
      </w:r>
      <w:r w:rsidR="00C7689F" w:rsidRPr="002E5A01">
        <w:rPr>
          <w:rFonts w:ascii="Times New Roman" w:eastAsia="Times New Roman" w:hAnsi="Times New Roman"/>
          <w:color w:val="000000" w:themeColor="text1"/>
          <w:lang w:val="hr-HR" w:eastAsia="hr-HR"/>
        </w:rPr>
        <w:t xml:space="preserve"> </w:t>
      </w:r>
      <w:r w:rsidR="00C7689F" w:rsidRPr="002E5A01">
        <w:rPr>
          <w:rFonts w:ascii="Times New Roman" w:eastAsia="Times New Roman" w:hAnsi="Times New Roman"/>
          <w:b/>
          <w:color w:val="000000" w:themeColor="text1"/>
          <w:lang w:val="hr-HR" w:eastAsia="hr-HR"/>
        </w:rPr>
        <w:t>godini</w:t>
      </w:r>
    </w:p>
    <w:p w:rsidR="00C7689F" w:rsidRPr="002E5A01" w:rsidRDefault="00C7689F" w:rsidP="00C7689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val="hr-HR" w:eastAsia="hr-HR"/>
        </w:rPr>
      </w:pPr>
      <w:r w:rsidRPr="002E5A01">
        <w:rPr>
          <w:rFonts w:ascii="Times New Roman" w:eastAsia="Times New Roman" w:hAnsi="Times New Roman"/>
          <w:b/>
          <w:color w:val="000000" w:themeColor="text1"/>
          <w:lang w:val="hr-HR" w:eastAsia="hr-HR"/>
        </w:rPr>
        <w:t>s usporednom analizom</w:t>
      </w:r>
    </w:p>
    <w:p w:rsidR="00C7689F" w:rsidRPr="002E5A01" w:rsidRDefault="00E43931" w:rsidP="00C7689F">
      <w:pPr>
        <w:spacing w:after="0" w:line="240" w:lineRule="auto"/>
        <w:jc w:val="center"/>
        <w:rPr>
          <w:rFonts w:eastAsia="Times New Roman" w:cs="Arial"/>
          <w:sz w:val="20"/>
          <w:szCs w:val="20"/>
          <w:lang w:val="hr-HR" w:eastAsia="hr-HR"/>
        </w:rPr>
      </w:pPr>
      <w:r>
        <w:rPr>
          <w:rFonts w:eastAsia="Times New Roman" w:cs="Arial"/>
          <w:lang w:val="hr-HR" w:eastAsia="hr-HR"/>
        </w:rPr>
        <w:pict w14:anchorId="14626FE2">
          <v:rect id="_x0000_i1026" style="width:.05pt;height:1.5pt" o:hralign="center" o:hrstd="t" o:hr="t" fillcolor="#a0a0a0" stroked="f"/>
        </w:pict>
      </w:r>
    </w:p>
    <w:p w:rsidR="00C7689F" w:rsidRPr="002E5A01" w:rsidRDefault="00C7689F" w:rsidP="00C7689F">
      <w:pPr>
        <w:spacing w:after="0" w:line="240" w:lineRule="auto"/>
        <w:jc w:val="both"/>
        <w:rPr>
          <w:rFonts w:eastAsia="Times New Roman" w:cs="Arial"/>
          <w:sz w:val="20"/>
          <w:szCs w:val="20"/>
          <w:lang w:val="hr-HR" w:eastAsia="hr-HR"/>
        </w:rPr>
      </w:pPr>
    </w:p>
    <w:p w:rsidR="00C16D95" w:rsidRDefault="00C16D95" w:rsidP="00A80528"/>
    <w:p w:rsidR="00C16D95" w:rsidRPr="00E320DE" w:rsidRDefault="00C16D95" w:rsidP="00E320DE">
      <w:pPr>
        <w:pStyle w:val="Odlomakpopisa"/>
        <w:numPr>
          <w:ilvl w:val="0"/>
          <w:numId w:val="4"/>
        </w:numPr>
        <w:rPr>
          <w:b/>
        </w:rPr>
      </w:pPr>
      <w:r w:rsidRPr="00E12A82">
        <w:rPr>
          <w:b/>
          <w:u w:val="single"/>
        </w:rPr>
        <w:t>USPOREDNI PRIKAZ BROJA SAR AKCIJA PREMA MJESECIMA ZA 2021. I 2022</w:t>
      </w:r>
      <w:r w:rsidRPr="00E320DE">
        <w:rPr>
          <w:b/>
        </w:rPr>
        <w:t>.</w:t>
      </w:r>
    </w:p>
    <w:p w:rsidR="00C16D95" w:rsidRDefault="00C16D95" w:rsidP="00AE4565">
      <w:pPr>
        <w:pStyle w:val="Odlomakpopisa"/>
        <w:ind w:left="540"/>
      </w:pPr>
    </w:p>
    <w:p w:rsidR="00C16D95" w:rsidRDefault="00E12A82" w:rsidP="00AE4565">
      <w:pPr>
        <w:pStyle w:val="Odlomakpopisa"/>
        <w:ind w:left="540"/>
      </w:pPr>
      <w:r>
        <w:t>U</w:t>
      </w:r>
      <w:r w:rsidR="00C16D95">
        <w:t xml:space="preserve"> razdoblju od 1.1.2022. do 31.12.2022. na području odgovornosti Nacionalne središnjice za usklađivanje traganja I spašavanja na moru MRCC Rijeka i ostalih 8 MRSC podsredišnjica (LK Pula, </w:t>
      </w:r>
      <w:smartTag w:uri="urn:schemas-microsoft-com:office:smarttags" w:element="City">
        <w:r w:rsidR="00C16D95">
          <w:t>Rijeka</w:t>
        </w:r>
      </w:smartTag>
      <w:r w:rsidR="00C16D95">
        <w:t xml:space="preserve">, Senj, Zadar, Šibenik, </w:t>
      </w:r>
      <w:smartTag w:uri="urn:schemas-microsoft-com:office:smarttags" w:element="City">
        <w:r w:rsidR="00C16D95">
          <w:t>Split</w:t>
        </w:r>
      </w:smartTag>
      <w:r w:rsidR="00C16D95">
        <w:t xml:space="preserve">, Ploče, </w:t>
      </w:r>
      <w:smartTag w:uri="urn:schemas-microsoft-com:office:smarttags" w:element="City">
        <w:smartTag w:uri="urn:schemas-microsoft-com:office:smarttags" w:element="place">
          <w:r w:rsidR="00C16D95">
            <w:t>Dubrovnik</w:t>
          </w:r>
        </w:smartTag>
      </w:smartTag>
      <w:r w:rsidR="00C16D95">
        <w:t>).</w:t>
      </w:r>
    </w:p>
    <w:p w:rsidR="00C16D95" w:rsidRDefault="00C16D95" w:rsidP="00AE4565">
      <w:pPr>
        <w:pStyle w:val="Odlomakpopisa"/>
        <w:ind w:left="540"/>
      </w:pPr>
      <w:r>
        <w:t>Tijekom 2022. MRCC Rijeka sudjelovao je u 549 SAR akcija, analiziranih i prikazanih u tabličnom i grafičkom prikazu u nastavku teksta, usporedno sa prethodno godinom.</w:t>
      </w:r>
    </w:p>
    <w:p w:rsidR="00C16D95" w:rsidRDefault="00C16D95" w:rsidP="00AE4565">
      <w:pPr>
        <w:pStyle w:val="Odlomakpopisa"/>
        <w:ind w:left="540"/>
      </w:pPr>
      <w:r>
        <w:t>Ukupan broj spašenih osoba iznosi 798.</w:t>
      </w:r>
    </w:p>
    <w:p w:rsidR="00C16D95" w:rsidRPr="00AE4565" w:rsidRDefault="00C16D95" w:rsidP="00AE4565">
      <w:pPr>
        <w:pStyle w:val="Odlomakpopisa"/>
        <w:ind w:left="540"/>
      </w:pPr>
      <w:r>
        <w:t xml:space="preserve">  </w:t>
      </w:r>
    </w:p>
    <w:tbl>
      <w:tblPr>
        <w:tblpPr w:leftFromText="180" w:rightFromText="180" w:vertAnchor="page" w:horzAnchor="margin" w:tblpXSpec="center" w:tblpY="5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7"/>
        <w:gridCol w:w="1418"/>
        <w:gridCol w:w="1417"/>
      </w:tblGrid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MJESEC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202</w:t>
            </w:r>
            <w:r>
              <w:t>1</w:t>
            </w:r>
            <w:r w:rsidRPr="009821BE">
              <w:t>.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202</w:t>
            </w:r>
            <w:r>
              <w:t>2</w:t>
            </w:r>
            <w:r w:rsidRPr="009821BE">
              <w:t>.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INDEKS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SIJEČANJ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115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VELJAČA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2</w:t>
            </w:r>
            <w:r>
              <w:t>7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44.44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OŽUJAK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62.50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TRAVANJ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2</w:t>
            </w:r>
            <w:r>
              <w:t>8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78.57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SVIBANJ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97.56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LIPANJ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SRPANJ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105.66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KOLOVOZ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 w:rsidRPr="009821BE">
              <w:t>1</w:t>
            </w:r>
            <w:r>
              <w:t>62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C16D95" w:rsidRPr="009821BE" w:rsidRDefault="00C16D95" w:rsidP="00A10C37">
            <w:pPr>
              <w:spacing w:after="0" w:line="240" w:lineRule="auto"/>
              <w:jc w:val="center"/>
            </w:pPr>
            <w:r>
              <w:t>70.99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RUJAN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130.91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LISTOPAD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68.42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STUDENI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161.11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PROSINAC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81.48</w:t>
            </w:r>
          </w:p>
        </w:tc>
      </w:tr>
      <w:tr w:rsidR="00C16D95" w:rsidRPr="009821BE" w:rsidTr="009821BE">
        <w:tc>
          <w:tcPr>
            <w:tcW w:w="2122" w:type="dxa"/>
          </w:tcPr>
          <w:p w:rsidR="00C16D95" w:rsidRPr="009821BE" w:rsidRDefault="00C16D95" w:rsidP="009821BE">
            <w:pPr>
              <w:spacing w:after="0" w:line="240" w:lineRule="auto"/>
            </w:pPr>
            <w:r w:rsidRPr="009821BE">
              <w:t>UKUPNO</w:t>
            </w:r>
          </w:p>
        </w:tc>
        <w:tc>
          <w:tcPr>
            <w:tcW w:w="1417" w:type="dxa"/>
          </w:tcPr>
          <w:p w:rsidR="00C16D95" w:rsidRPr="009821BE" w:rsidRDefault="00C16D95" w:rsidP="009821BE">
            <w:pPr>
              <w:spacing w:after="0" w:line="240" w:lineRule="auto"/>
              <w:jc w:val="center"/>
            </w:pPr>
            <w:r>
              <w:t>610</w:t>
            </w:r>
          </w:p>
        </w:tc>
        <w:tc>
          <w:tcPr>
            <w:tcW w:w="1418" w:type="dxa"/>
          </w:tcPr>
          <w:p w:rsidR="00C16D95" w:rsidRPr="009821BE" w:rsidRDefault="00C16D95" w:rsidP="00A10C37">
            <w:pPr>
              <w:spacing w:after="0" w:line="240" w:lineRule="auto"/>
              <w:jc w:val="center"/>
            </w:pPr>
            <w:r>
              <w:t>549</w:t>
            </w:r>
          </w:p>
        </w:tc>
        <w:tc>
          <w:tcPr>
            <w:tcW w:w="1417" w:type="dxa"/>
          </w:tcPr>
          <w:p w:rsidR="00C16D95" w:rsidRPr="009821BE" w:rsidRDefault="00C16D95" w:rsidP="00A10C37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C16D95" w:rsidRDefault="00C16D95" w:rsidP="00AE4565">
      <w:pPr>
        <w:pStyle w:val="Odlomakpopisa"/>
        <w:ind w:left="540"/>
      </w:pPr>
    </w:p>
    <w:p w:rsidR="00C16D95" w:rsidRDefault="00C16D95" w:rsidP="00A80528"/>
    <w:p w:rsidR="00C16D95" w:rsidRDefault="00C16D95" w:rsidP="00A80528">
      <w:r>
        <w:t xml:space="preserve">                  </w:t>
      </w:r>
    </w:p>
    <w:p w:rsidR="00C16D95" w:rsidRDefault="00C16D95" w:rsidP="00A80528"/>
    <w:p w:rsidR="00C16D95" w:rsidRDefault="00C16D95" w:rsidP="00A80528"/>
    <w:p w:rsidR="00C16D95" w:rsidRDefault="00C16D95" w:rsidP="00A80528"/>
    <w:p w:rsidR="00C16D95" w:rsidRDefault="00C16D95" w:rsidP="00A80528"/>
    <w:p w:rsidR="00C16D95" w:rsidRPr="00AE4565" w:rsidRDefault="00C16D95" w:rsidP="00AE4565"/>
    <w:p w:rsidR="00C16D95" w:rsidRPr="00AE4565" w:rsidRDefault="00C16D95" w:rsidP="00AE4565">
      <w:pPr>
        <w:tabs>
          <w:tab w:val="left" w:pos="697"/>
        </w:tabs>
      </w:pPr>
    </w:p>
    <w:p w:rsidR="00C16D95" w:rsidRDefault="00C16D95" w:rsidP="00A80528"/>
    <w:p w:rsidR="00C16D95" w:rsidRDefault="00F14BC1" w:rsidP="00F14BC1">
      <w:pPr>
        <w:tabs>
          <w:tab w:val="left" w:pos="1680"/>
        </w:tabs>
      </w:pPr>
      <w:r>
        <w:tab/>
      </w:r>
      <w:r w:rsidRPr="00836941">
        <w:rPr>
          <w:noProof/>
          <w:lang w:val="hr-HR" w:eastAsia="hr-HR"/>
        </w:rPr>
        <w:drawing>
          <wp:inline distT="0" distB="0" distL="0" distR="0" wp14:anchorId="695D63FC" wp14:editId="3ED1B090">
            <wp:extent cx="3841115" cy="2505075"/>
            <wp:effectExtent l="0" t="0" r="6985" b="9525"/>
            <wp:docPr id="1" name="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13DC" w:rsidRDefault="001613DC" w:rsidP="00A80528"/>
    <w:p w:rsidR="00C16D95" w:rsidRDefault="00C16D95" w:rsidP="00A80528">
      <w:r>
        <w:t>Distribucija SAR akcija tijekom 2022.godine pokazuje ustaljenu pravilnost u odnosu na 2021.godinu, kao i na prethodne godine, pri čemu se najveći broj SAR akcija bilježi u ljetnim mjesecima, tijekom turističke sezone, usljed značajnog povećanja pomorskog prometa plovnih objekata namjenjenih razonodi, sportu i rekraciji (brodice, gliseri, jedrilice).</w:t>
      </w:r>
    </w:p>
    <w:p w:rsidR="00C16D95" w:rsidRDefault="00C16D95" w:rsidP="00A80528">
      <w:pPr>
        <w:rPr>
          <w:u w:val="single"/>
        </w:rPr>
      </w:pPr>
      <w:r>
        <w:t xml:space="preserve"> Analize potvrđuju kako su najčešći uzroci nesreća i nezgoda na moru </w:t>
      </w:r>
      <w:r>
        <w:rPr>
          <w:u w:val="single"/>
        </w:rPr>
        <w:t>nemar prema prognostičkim upozorenjima, nedovoljno nautičko iskustvo, neadekvatna opremljenost brodica i tehnička ispravnost.</w:t>
      </w:r>
    </w:p>
    <w:p w:rsidR="00C16D95" w:rsidRDefault="00C16D95" w:rsidP="00A80528">
      <w:pPr>
        <w:rPr>
          <w:u w:val="single"/>
        </w:rPr>
      </w:pPr>
      <w:r>
        <w:rPr>
          <w:u w:val="single"/>
        </w:rPr>
        <w:t>Ukupni broj SAR akcija je otprilike sličan ili u blagom opadanju izražen u % u odnosu na prethodnu godinu, dok se istovremeno povećao broj ugroženih osoba. Razlog istome je manji broj ljetnih neverina, a ujedno</w:t>
      </w:r>
      <w:r w:rsidR="00BC5340">
        <w:rPr>
          <w:u w:val="single"/>
        </w:rPr>
        <w:t xml:space="preserve"> </w:t>
      </w:r>
      <w:r>
        <w:rPr>
          <w:u w:val="single"/>
        </w:rPr>
        <w:t>i povećanje osoba / članova</w:t>
      </w:r>
      <w:r w:rsidR="00BC5340">
        <w:rPr>
          <w:u w:val="single"/>
        </w:rPr>
        <w:t xml:space="preserve"> posada</w:t>
      </w:r>
      <w:r>
        <w:rPr>
          <w:u w:val="single"/>
        </w:rPr>
        <w:t xml:space="preserve"> na plovilima. </w:t>
      </w:r>
    </w:p>
    <w:p w:rsidR="00F14BC1" w:rsidRDefault="00F14BC1" w:rsidP="00A80528"/>
    <w:tbl>
      <w:tblPr>
        <w:tblpPr w:leftFromText="180" w:rightFromText="180" w:vertAnchor="page" w:horzAnchor="page" w:tblpX="2371" w:tblpY="4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503"/>
        <w:gridCol w:w="1503"/>
        <w:gridCol w:w="1417"/>
      </w:tblGrid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UGROŽENI SUBJEKTI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2021.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2022.</w:t>
            </w:r>
          </w:p>
        </w:tc>
        <w:tc>
          <w:tcPr>
            <w:tcW w:w="141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INDEKS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JAHTE, BRODICE, GLISERI I JEDRILICE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184</w:t>
            </w:r>
          </w:p>
        </w:tc>
        <w:tc>
          <w:tcPr>
            <w:tcW w:w="1503" w:type="dxa"/>
          </w:tcPr>
          <w:p w:rsidR="00F14BC1" w:rsidRPr="00F14BC1" w:rsidRDefault="00F7428B" w:rsidP="00F14BC1">
            <w:pPr>
              <w:rPr>
                <w:lang w:val="hr-HR"/>
              </w:rPr>
            </w:pPr>
            <w:r>
              <w:rPr>
                <w:lang w:val="hr-HR"/>
              </w:rPr>
              <w:t>205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111.41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 xml:space="preserve">RIBARSKI BRODOVI 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15</w:t>
            </w:r>
          </w:p>
        </w:tc>
        <w:tc>
          <w:tcPr>
            <w:tcW w:w="1503" w:type="dxa"/>
          </w:tcPr>
          <w:p w:rsidR="00F14BC1" w:rsidRPr="00F14BC1" w:rsidRDefault="00F7428B" w:rsidP="00F14BC1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80.00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OSOBE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276</w:t>
            </w:r>
          </w:p>
        </w:tc>
        <w:tc>
          <w:tcPr>
            <w:tcW w:w="1503" w:type="dxa"/>
          </w:tcPr>
          <w:p w:rsidR="00F14BC1" w:rsidRPr="00F14BC1" w:rsidRDefault="00F7428B" w:rsidP="00F14BC1">
            <w:pPr>
              <w:rPr>
                <w:lang w:val="hr-HR"/>
              </w:rPr>
            </w:pPr>
            <w:r>
              <w:rPr>
                <w:lang w:val="hr-HR"/>
              </w:rPr>
              <w:t>798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289.13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ZRAKOPLOVI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2</w:t>
            </w:r>
          </w:p>
        </w:tc>
        <w:tc>
          <w:tcPr>
            <w:tcW w:w="1503" w:type="dxa"/>
          </w:tcPr>
          <w:p w:rsidR="00F14BC1" w:rsidRPr="00F14BC1" w:rsidRDefault="00F7428B" w:rsidP="00F14BC1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n/a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OSTALI BRODOVI (teretni,putnički i ost.)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156</w:t>
            </w:r>
          </w:p>
        </w:tc>
        <w:tc>
          <w:tcPr>
            <w:tcW w:w="1503" w:type="dxa"/>
          </w:tcPr>
          <w:p w:rsidR="00F14BC1" w:rsidRPr="00F14BC1" w:rsidRDefault="00F7428B" w:rsidP="00F14BC1">
            <w:pPr>
              <w:rPr>
                <w:lang w:val="hr-HR"/>
              </w:rPr>
            </w:pPr>
            <w:r>
              <w:rPr>
                <w:lang w:val="hr-HR"/>
              </w:rPr>
              <w:t>138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88.46</w:t>
            </w:r>
          </w:p>
        </w:tc>
      </w:tr>
      <w:tr w:rsidR="00F14BC1" w:rsidRPr="00F14BC1" w:rsidTr="00F14BC1">
        <w:tc>
          <w:tcPr>
            <w:tcW w:w="2547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UKUPNO</w:t>
            </w:r>
          </w:p>
        </w:tc>
        <w:tc>
          <w:tcPr>
            <w:tcW w:w="1503" w:type="dxa"/>
          </w:tcPr>
          <w:p w:rsidR="00F14BC1" w:rsidRPr="00F14BC1" w:rsidRDefault="00F14BC1" w:rsidP="00F14BC1">
            <w:pPr>
              <w:rPr>
                <w:lang w:val="hr-HR"/>
              </w:rPr>
            </w:pPr>
            <w:r w:rsidRPr="00F14BC1">
              <w:rPr>
                <w:lang w:val="hr-HR"/>
              </w:rPr>
              <w:t>633</w:t>
            </w:r>
          </w:p>
        </w:tc>
        <w:tc>
          <w:tcPr>
            <w:tcW w:w="1503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1144</w:t>
            </w:r>
          </w:p>
        </w:tc>
        <w:tc>
          <w:tcPr>
            <w:tcW w:w="1417" w:type="dxa"/>
          </w:tcPr>
          <w:p w:rsidR="00F14BC1" w:rsidRPr="00F14BC1" w:rsidRDefault="000B6033" w:rsidP="00F14BC1">
            <w:pPr>
              <w:rPr>
                <w:lang w:val="hr-HR"/>
              </w:rPr>
            </w:pPr>
            <w:r>
              <w:rPr>
                <w:lang w:val="hr-HR"/>
              </w:rPr>
              <w:t>180.72</w:t>
            </w:r>
          </w:p>
        </w:tc>
      </w:tr>
    </w:tbl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F14BC1" w:rsidRDefault="00F14BC1" w:rsidP="00A80528"/>
    <w:p w:rsidR="0013486E" w:rsidRDefault="0013486E" w:rsidP="00A80528"/>
    <w:p w:rsidR="0013486E" w:rsidRDefault="0013486E" w:rsidP="00A80528"/>
    <w:p w:rsidR="0013486E" w:rsidRDefault="0013486E" w:rsidP="00A80528"/>
    <w:p w:rsidR="0013486E" w:rsidRDefault="0013486E" w:rsidP="00A80528"/>
    <w:p w:rsidR="0013486E" w:rsidRDefault="0013486E" w:rsidP="00A80528"/>
    <w:p w:rsidR="00C16D95" w:rsidRPr="00E12A82" w:rsidRDefault="00C16D95" w:rsidP="00E320DE">
      <w:pPr>
        <w:pStyle w:val="Odlomakpopisa"/>
        <w:numPr>
          <w:ilvl w:val="0"/>
          <w:numId w:val="4"/>
        </w:numPr>
        <w:rPr>
          <w:b/>
          <w:u w:val="single"/>
        </w:rPr>
      </w:pPr>
      <w:r w:rsidRPr="00E12A82">
        <w:rPr>
          <w:b/>
          <w:u w:val="single"/>
        </w:rPr>
        <w:t xml:space="preserve">PRIKAZ UGROŽENIH PLOVNIH OBJEKATA PREMA VRSTI ZA 2021. I 2022. </w:t>
      </w:r>
      <w:r w:rsidR="00E12A82" w:rsidRPr="00E12A82">
        <w:rPr>
          <w:b/>
          <w:u w:val="single"/>
        </w:rPr>
        <w:t>GODINU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394"/>
        <w:gridCol w:w="1441"/>
        <w:gridCol w:w="1417"/>
      </w:tblGrid>
      <w:tr w:rsidR="00C16D95" w:rsidRPr="009821BE" w:rsidTr="001C35E5">
        <w:tc>
          <w:tcPr>
            <w:tcW w:w="3114" w:type="dxa"/>
          </w:tcPr>
          <w:p w:rsidR="00C16D95" w:rsidRPr="009821BE" w:rsidRDefault="00C16D95" w:rsidP="001C35E5">
            <w:pPr>
              <w:spacing w:after="0" w:line="240" w:lineRule="auto"/>
              <w:rPr>
                <w:b/>
              </w:rPr>
            </w:pPr>
            <w:r w:rsidRPr="009821BE">
              <w:rPr>
                <w:b/>
              </w:rPr>
              <w:t>UGROŽENI SUBJEKT</w:t>
            </w:r>
          </w:p>
        </w:tc>
        <w:tc>
          <w:tcPr>
            <w:tcW w:w="1394" w:type="dxa"/>
          </w:tcPr>
          <w:p w:rsidR="00C16D95" w:rsidRPr="009821BE" w:rsidRDefault="00C16D95" w:rsidP="001C35E5">
            <w:pPr>
              <w:spacing w:after="0" w:line="240" w:lineRule="auto"/>
              <w:rPr>
                <w:b/>
              </w:rPr>
            </w:pPr>
            <w:r w:rsidRPr="009821B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821BE">
              <w:rPr>
                <w:b/>
              </w:rPr>
              <w:t>.</w:t>
            </w:r>
          </w:p>
        </w:tc>
        <w:tc>
          <w:tcPr>
            <w:tcW w:w="1441" w:type="dxa"/>
          </w:tcPr>
          <w:p w:rsidR="00C16D95" w:rsidRPr="009821BE" w:rsidRDefault="00C16D95" w:rsidP="001C35E5">
            <w:pPr>
              <w:spacing w:after="0" w:line="240" w:lineRule="auto"/>
              <w:rPr>
                <w:b/>
              </w:rPr>
            </w:pPr>
            <w:r w:rsidRPr="009821BE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821BE">
              <w:rPr>
                <w:b/>
              </w:rPr>
              <w:t>.</w:t>
            </w:r>
          </w:p>
        </w:tc>
        <w:tc>
          <w:tcPr>
            <w:tcW w:w="1417" w:type="dxa"/>
          </w:tcPr>
          <w:p w:rsidR="00C16D95" w:rsidRPr="009821BE" w:rsidRDefault="00C16D95" w:rsidP="001C35E5">
            <w:pPr>
              <w:spacing w:after="0" w:line="240" w:lineRule="auto"/>
              <w:rPr>
                <w:b/>
              </w:rPr>
            </w:pPr>
            <w:r w:rsidRPr="009821BE">
              <w:rPr>
                <w:b/>
              </w:rPr>
              <w:t>INDEX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Putnički brodovi linijski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9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4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44.44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Putnički brodovi povremeni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9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33.33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Teretni brodovi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11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3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27.27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Jahte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25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28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112.00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Motorne b</w:t>
            </w:r>
            <w:r w:rsidRPr="002E5A01">
              <w:rPr>
                <w:lang w:val="hr-HR"/>
              </w:rPr>
              <w:t>rodice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85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88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103.53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Jedrilice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60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72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120.00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 xml:space="preserve">Gliseri 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14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17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121.43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Ribarski brodovi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15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12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80.00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00175C">
              <w:rPr>
                <w:lang w:val="hr-HR"/>
              </w:rPr>
              <w:t>Ostala osobna plovila manja od 2,5m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24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23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95.83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Daske za jedrenje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16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40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250.00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Kajaci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14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18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128.57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00175C">
              <w:rPr>
                <w:lang w:val="hr-HR"/>
              </w:rPr>
              <w:t>Plovila na vodomlazni pogon (vodeni skuteri)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23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12</w:t>
            </w:r>
          </w:p>
        </w:tc>
        <w:tc>
          <w:tcPr>
            <w:tcW w:w="1417" w:type="dxa"/>
          </w:tcPr>
          <w:p w:rsidR="00E12A82" w:rsidRPr="009821BE" w:rsidRDefault="00266552" w:rsidP="00E12A82">
            <w:pPr>
              <w:spacing w:after="0" w:line="240" w:lineRule="auto"/>
            </w:pPr>
            <w:r>
              <w:t>52,17</w:t>
            </w:r>
          </w:p>
        </w:tc>
      </w:tr>
      <w:tr w:rsidR="00E12A82" w:rsidRPr="009821BE" w:rsidTr="001C35E5">
        <w:tc>
          <w:tcPr>
            <w:tcW w:w="3114" w:type="dxa"/>
          </w:tcPr>
          <w:p w:rsidR="00E12A82" w:rsidRPr="002E5A01" w:rsidRDefault="00E12A82" w:rsidP="00E12A82">
            <w:pPr>
              <w:spacing w:after="0" w:line="240" w:lineRule="auto"/>
              <w:jc w:val="both"/>
              <w:rPr>
                <w:lang w:val="hr-HR"/>
              </w:rPr>
            </w:pPr>
            <w:r w:rsidRPr="002E5A01">
              <w:rPr>
                <w:lang w:val="hr-HR"/>
              </w:rPr>
              <w:t>Ostalo</w:t>
            </w:r>
          </w:p>
        </w:tc>
        <w:tc>
          <w:tcPr>
            <w:tcW w:w="1394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50</w:t>
            </w:r>
          </w:p>
        </w:tc>
        <w:tc>
          <w:tcPr>
            <w:tcW w:w="1441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55</w:t>
            </w:r>
          </w:p>
        </w:tc>
        <w:tc>
          <w:tcPr>
            <w:tcW w:w="1417" w:type="dxa"/>
          </w:tcPr>
          <w:p w:rsidR="00E12A82" w:rsidRPr="009821BE" w:rsidRDefault="00E12A82" w:rsidP="00E12A82">
            <w:pPr>
              <w:spacing w:after="0" w:line="240" w:lineRule="auto"/>
            </w:pPr>
            <w:r>
              <w:t>89,28</w:t>
            </w:r>
          </w:p>
        </w:tc>
      </w:tr>
      <w:tr w:rsidR="00C16D95" w:rsidRPr="009821BE" w:rsidTr="001C35E5">
        <w:tc>
          <w:tcPr>
            <w:tcW w:w="3114" w:type="dxa"/>
          </w:tcPr>
          <w:p w:rsidR="00C16D95" w:rsidRPr="00E12A82" w:rsidRDefault="00C16D95" w:rsidP="001C35E5">
            <w:pPr>
              <w:spacing w:after="0" w:line="240" w:lineRule="auto"/>
              <w:rPr>
                <w:b/>
              </w:rPr>
            </w:pPr>
            <w:r w:rsidRPr="00E12A82">
              <w:rPr>
                <w:b/>
              </w:rPr>
              <w:t>UKUPNO</w:t>
            </w:r>
          </w:p>
        </w:tc>
        <w:tc>
          <w:tcPr>
            <w:tcW w:w="1394" w:type="dxa"/>
          </w:tcPr>
          <w:p w:rsidR="00C16D95" w:rsidRPr="00E12A82" w:rsidRDefault="00C16D95" w:rsidP="001C35E5">
            <w:pPr>
              <w:spacing w:after="0" w:line="240" w:lineRule="auto"/>
              <w:rPr>
                <w:b/>
              </w:rPr>
            </w:pPr>
            <w:r w:rsidRPr="00E12A82">
              <w:rPr>
                <w:b/>
              </w:rPr>
              <w:t>355</w:t>
            </w:r>
          </w:p>
        </w:tc>
        <w:tc>
          <w:tcPr>
            <w:tcW w:w="1441" w:type="dxa"/>
          </w:tcPr>
          <w:p w:rsidR="00C16D95" w:rsidRPr="00E12A82" w:rsidRDefault="00C16D95" w:rsidP="001C35E5">
            <w:pPr>
              <w:spacing w:after="0" w:line="240" w:lineRule="auto"/>
              <w:rPr>
                <w:b/>
              </w:rPr>
            </w:pPr>
            <w:r w:rsidRPr="00E12A82">
              <w:rPr>
                <w:b/>
              </w:rPr>
              <w:t>375</w:t>
            </w:r>
          </w:p>
        </w:tc>
        <w:tc>
          <w:tcPr>
            <w:tcW w:w="1417" w:type="dxa"/>
          </w:tcPr>
          <w:p w:rsidR="00C16D95" w:rsidRPr="00E12A82" w:rsidRDefault="00C16D95" w:rsidP="001C35E5">
            <w:pPr>
              <w:spacing w:after="0" w:line="240" w:lineRule="auto"/>
              <w:rPr>
                <w:b/>
              </w:rPr>
            </w:pPr>
            <w:r w:rsidRPr="00E12A82">
              <w:rPr>
                <w:b/>
              </w:rPr>
              <w:t>105.63</w:t>
            </w:r>
          </w:p>
        </w:tc>
      </w:tr>
    </w:tbl>
    <w:p w:rsidR="00C16D95" w:rsidRDefault="00C16D95" w:rsidP="00E320DE"/>
    <w:p w:rsidR="00C16D95" w:rsidRDefault="00C16D95" w:rsidP="00F776FC">
      <w:pPr>
        <w:pStyle w:val="Odlomakpopisa"/>
        <w:ind w:left="540"/>
      </w:pPr>
    </w:p>
    <w:p w:rsidR="00C16D95" w:rsidRDefault="00C16D95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Default="00E12A82" w:rsidP="00B510D7">
      <w:pPr>
        <w:rPr>
          <w:noProof/>
          <w:lang w:val="hr-HR" w:eastAsia="hr-HR"/>
        </w:rPr>
      </w:pPr>
    </w:p>
    <w:p w:rsidR="00E12A82" w:rsidRPr="00B510D7" w:rsidRDefault="00E12A82" w:rsidP="00B510D7"/>
    <w:p w:rsidR="00C16D95" w:rsidRDefault="00C16D95" w:rsidP="00B510D7"/>
    <w:p w:rsidR="00E12A82" w:rsidRPr="0000175C" w:rsidRDefault="00E12A82" w:rsidP="00E12A82">
      <w:pPr>
        <w:spacing w:after="200" w:line="276" w:lineRule="auto"/>
        <w:jc w:val="both"/>
        <w:rPr>
          <w:rFonts w:cs="Arial"/>
          <w:lang w:val="hr-HR"/>
        </w:rPr>
      </w:pPr>
      <w:r w:rsidRPr="0000175C">
        <w:rPr>
          <w:rFonts w:cs="Arial"/>
          <w:lang w:val="hr-HR"/>
        </w:rPr>
        <w:t>Tijekom 202</w:t>
      </w:r>
      <w:r>
        <w:rPr>
          <w:rFonts w:cs="Arial"/>
          <w:lang w:val="hr-HR"/>
        </w:rPr>
        <w:t>2</w:t>
      </w:r>
      <w:r w:rsidRPr="0000175C">
        <w:rPr>
          <w:rFonts w:cs="Arial"/>
          <w:lang w:val="hr-HR"/>
        </w:rPr>
        <w:t>. godine</w:t>
      </w:r>
      <w:r w:rsidR="00266552">
        <w:rPr>
          <w:rFonts w:cs="Arial"/>
          <w:lang w:val="hr-HR"/>
        </w:rPr>
        <w:t xml:space="preserve"> bilježi se stabilan</w:t>
      </w:r>
      <w:r w:rsidRPr="0000175C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broj</w:t>
      </w:r>
      <w:r w:rsidRPr="0000175C">
        <w:rPr>
          <w:rFonts w:cs="Arial"/>
          <w:lang w:val="hr-HR"/>
        </w:rPr>
        <w:t xml:space="preserve"> spa</w:t>
      </w:r>
      <w:r w:rsidR="00266552">
        <w:rPr>
          <w:rFonts w:cs="Arial"/>
          <w:lang w:val="hr-HR"/>
        </w:rPr>
        <w:t>šenih brodova,  brodica i jahti u odnosu na 2021. godinu.</w:t>
      </w:r>
    </w:p>
    <w:p w:rsidR="00C16D95" w:rsidRDefault="00266552" w:rsidP="00FD5BB2">
      <w:pPr>
        <w:rPr>
          <w:rFonts w:cs="Arial"/>
        </w:rPr>
      </w:pPr>
      <w:r>
        <w:t>I dalje je</w:t>
      </w:r>
      <w:r w:rsidR="00C16D95">
        <w:t xml:space="preserve"> najviše ugroženih plovila namjenje</w:t>
      </w:r>
      <w:r>
        <w:t xml:space="preserve">nih za </w:t>
      </w:r>
      <w:r w:rsidR="00C16D95">
        <w:t>sport i rekraciju (brodi</w:t>
      </w:r>
      <w:r w:rsidR="00BC5340">
        <w:t>ce, gliseri i jedrilice, SUP-ovi</w:t>
      </w:r>
      <w:r w:rsidR="00C16D95">
        <w:t xml:space="preserve">, SURF-ovi, kajaci, </w:t>
      </w:r>
      <w:r w:rsidR="00BC5340">
        <w:t xml:space="preserve">i razne ostale plutajuće naprave za sport </w:t>
      </w:r>
      <w:r>
        <w:t>i</w:t>
      </w:r>
      <w:r w:rsidR="00BC5340">
        <w:t xml:space="preserve"> razonodu</w:t>
      </w:r>
      <w:r>
        <w:t>), a potrebno je naglasiti tendenciju rasta u kategoriji daske za jedrenje gdje je došlo do znatnog porasta broja nesreća.</w:t>
      </w:r>
    </w:p>
    <w:p w:rsidR="00C16D95" w:rsidRDefault="00C16D95" w:rsidP="000C5112">
      <w:pPr>
        <w:spacing w:after="200" w:line="276" w:lineRule="auto"/>
        <w:rPr>
          <w:rFonts w:cs="Arial"/>
          <w:b/>
        </w:rPr>
      </w:pPr>
    </w:p>
    <w:p w:rsidR="00C16D95" w:rsidRDefault="00C16D95" w:rsidP="00F71B88">
      <w:pPr>
        <w:pStyle w:val="Odlomakpopisa"/>
        <w:numPr>
          <w:ilvl w:val="0"/>
          <w:numId w:val="4"/>
        </w:numPr>
        <w:spacing w:after="200" w:line="276" w:lineRule="auto"/>
        <w:rPr>
          <w:rFonts w:cs="Arial"/>
          <w:b/>
          <w:u w:val="single"/>
        </w:rPr>
      </w:pPr>
      <w:r w:rsidRPr="00266552">
        <w:rPr>
          <w:rFonts w:cs="Arial"/>
          <w:b/>
          <w:u w:val="single"/>
        </w:rPr>
        <w:t>UKUPNI BROJ SPAŠENIH, NESTALIH, OZLIJEĐENIH I STRADALIH OSOBA U 2021. I  2022. GODINI</w:t>
      </w:r>
    </w:p>
    <w:p w:rsidR="00266552" w:rsidRPr="00266552" w:rsidRDefault="00266552" w:rsidP="00266552">
      <w:pPr>
        <w:spacing w:after="200" w:line="276" w:lineRule="auto"/>
        <w:rPr>
          <w:rFonts w:cs="Arial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8375"/>
        <w:gridCol w:w="274"/>
        <w:gridCol w:w="352"/>
      </w:tblGrid>
      <w:tr w:rsidR="00C16D95" w:rsidRPr="009821BE" w:rsidTr="00B90767">
        <w:tc>
          <w:tcPr>
            <w:tcW w:w="161" w:type="dxa"/>
          </w:tcPr>
          <w:p w:rsidR="00C16D95" w:rsidRPr="009821BE" w:rsidRDefault="00C16D95" w:rsidP="00B907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87" w:type="dxa"/>
          </w:tcPr>
          <w:tbl>
            <w:tblPr>
              <w:tblW w:w="8365" w:type="dxa"/>
              <w:tblLook w:val="00A0" w:firstRow="1" w:lastRow="0" w:firstColumn="1" w:lastColumn="0" w:noHBand="0" w:noVBand="0"/>
            </w:tblPr>
            <w:tblGrid>
              <w:gridCol w:w="2168"/>
              <w:gridCol w:w="2023"/>
              <w:gridCol w:w="1255"/>
              <w:gridCol w:w="1365"/>
              <w:gridCol w:w="1554"/>
            </w:tblGrid>
            <w:tr w:rsidR="00C16D95" w:rsidRPr="009821BE" w:rsidTr="00B90767">
              <w:trPr>
                <w:trHeight w:val="250"/>
              </w:trPr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2021</w:t>
                  </w:r>
                  <w:r w:rsidRPr="0099601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2022</w:t>
                  </w:r>
                  <w:r w:rsidRPr="0099601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INDEKS</w:t>
                  </w:r>
                </w:p>
              </w:tc>
            </w:tr>
            <w:tr w:rsidR="00C16D95" w:rsidRPr="009821BE" w:rsidTr="00B90767">
              <w:trPr>
                <w:trHeight w:val="250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NESTALO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n/a</w:t>
                  </w:r>
                </w:p>
              </w:tc>
            </w:tr>
            <w:tr w:rsidR="00C16D95" w:rsidRPr="009821BE" w:rsidTr="00B90767">
              <w:trPr>
                <w:trHeight w:val="250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OZLIJEĐENO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14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42.42</w:t>
                  </w:r>
                </w:p>
              </w:tc>
            </w:tr>
            <w:tr w:rsidR="00C16D95" w:rsidRPr="009821BE" w:rsidTr="00B90767">
              <w:trPr>
                <w:trHeight w:val="501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POGINULIH OSOBA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28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D06195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D06195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125.00</w:t>
                  </w:r>
                </w:p>
              </w:tc>
            </w:tr>
            <w:tr w:rsidR="00C16D95" w:rsidRPr="009821BE" w:rsidTr="00B90767">
              <w:trPr>
                <w:trHeight w:val="250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prirodna smrt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n/a</w:t>
                  </w:r>
                </w:p>
              </w:tc>
            </w:tr>
            <w:tr w:rsidR="00C16D95" w:rsidRPr="009821BE" w:rsidTr="00B90767">
              <w:trPr>
                <w:trHeight w:val="250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ronioci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33.33</w:t>
                  </w:r>
                </w:p>
              </w:tc>
            </w:tr>
            <w:tr w:rsidR="00C16D95" w:rsidRPr="009821BE" w:rsidTr="00B90767">
              <w:trPr>
                <w:trHeight w:val="501"/>
              </w:trPr>
              <w:tc>
                <w:tcPr>
                  <w:tcW w:w="21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SPAŠENO OSOBA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6D95" w:rsidRPr="00996017" w:rsidRDefault="00C16D95" w:rsidP="00B90767">
                  <w:pPr>
                    <w:spacing w:after="0" w:line="240" w:lineRule="auto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96017"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B90767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733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Default="00F7428B" w:rsidP="00D06195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798</w:t>
                  </w:r>
                </w:p>
                <w:p w:rsidR="00C16D95" w:rsidRPr="00996017" w:rsidRDefault="00C16D95" w:rsidP="00D06195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3D3D3"/>
                </w:tcPr>
                <w:p w:rsidR="00C16D95" w:rsidRPr="00996017" w:rsidRDefault="00C16D95" w:rsidP="00D06195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eastAsia="hr-HR"/>
                    </w:rPr>
                    <w:t>69.30</w:t>
                  </w:r>
                </w:p>
              </w:tc>
            </w:tr>
          </w:tbl>
          <w:p w:rsidR="00C16D95" w:rsidRPr="009821BE" w:rsidRDefault="00C16D95" w:rsidP="00B907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9" w:type="dxa"/>
          </w:tcPr>
          <w:p w:rsidR="00C16D95" w:rsidRPr="009821BE" w:rsidRDefault="00C16D95" w:rsidP="00B907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73" w:type="dxa"/>
          </w:tcPr>
          <w:p w:rsidR="00C16D95" w:rsidRPr="009821BE" w:rsidRDefault="00C16D95" w:rsidP="00B9076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C16D95" w:rsidRDefault="00C16D95" w:rsidP="00B05983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176"/>
        <w:gridCol w:w="1176"/>
        <w:gridCol w:w="1466"/>
      </w:tblGrid>
      <w:tr w:rsidR="001613DC" w:rsidRPr="001613DC" w:rsidTr="001613DC">
        <w:trPr>
          <w:trHeight w:hRule="exact" w:val="326"/>
        </w:trPr>
        <w:tc>
          <w:tcPr>
            <w:tcW w:w="5080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PLOVNI OBJEKTI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2021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2022</w:t>
            </w:r>
          </w:p>
        </w:tc>
        <w:tc>
          <w:tcPr>
            <w:tcW w:w="146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INDEX</w:t>
            </w:r>
          </w:p>
        </w:tc>
      </w:tr>
      <w:tr w:rsidR="001613DC" w:rsidRPr="001613DC" w:rsidTr="001613DC">
        <w:trPr>
          <w:trHeight w:hRule="exact" w:val="312"/>
        </w:trPr>
        <w:tc>
          <w:tcPr>
            <w:tcW w:w="5080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Spašeno brodova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13</w:t>
            </w:r>
          </w:p>
        </w:tc>
        <w:tc>
          <w:tcPr>
            <w:tcW w:w="1176" w:type="dxa"/>
          </w:tcPr>
          <w:p w:rsidR="001613DC" w:rsidRPr="001613DC" w:rsidRDefault="00F7428B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</w:t>
            </w:r>
          </w:p>
        </w:tc>
        <w:tc>
          <w:tcPr>
            <w:tcW w:w="1466" w:type="dxa"/>
          </w:tcPr>
          <w:p w:rsidR="001613DC" w:rsidRPr="001613DC" w:rsidRDefault="000B6033" w:rsidP="000B6033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76.92</w:t>
            </w:r>
          </w:p>
        </w:tc>
      </w:tr>
      <w:tr w:rsidR="001613DC" w:rsidRPr="001613DC" w:rsidTr="001613DC">
        <w:trPr>
          <w:trHeight w:hRule="exact" w:val="322"/>
        </w:trPr>
        <w:tc>
          <w:tcPr>
            <w:tcW w:w="5080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Spašeno brodica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110</w:t>
            </w:r>
          </w:p>
        </w:tc>
        <w:tc>
          <w:tcPr>
            <w:tcW w:w="1176" w:type="dxa"/>
          </w:tcPr>
          <w:p w:rsidR="001613DC" w:rsidRPr="001613DC" w:rsidRDefault="00F7428B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88</w:t>
            </w:r>
          </w:p>
        </w:tc>
        <w:tc>
          <w:tcPr>
            <w:tcW w:w="1466" w:type="dxa"/>
          </w:tcPr>
          <w:p w:rsidR="001613DC" w:rsidRPr="001613DC" w:rsidRDefault="000B6033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80.00</w:t>
            </w:r>
          </w:p>
        </w:tc>
      </w:tr>
      <w:tr w:rsidR="001613DC" w:rsidRPr="001613DC" w:rsidTr="001613DC">
        <w:trPr>
          <w:trHeight w:hRule="exact" w:val="317"/>
        </w:trPr>
        <w:tc>
          <w:tcPr>
            <w:tcW w:w="5080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Spašeno jahti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12</w:t>
            </w:r>
          </w:p>
        </w:tc>
        <w:tc>
          <w:tcPr>
            <w:tcW w:w="1176" w:type="dxa"/>
          </w:tcPr>
          <w:p w:rsidR="001613DC" w:rsidRPr="001613DC" w:rsidRDefault="00F7428B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</w:t>
            </w:r>
          </w:p>
        </w:tc>
        <w:tc>
          <w:tcPr>
            <w:tcW w:w="1466" w:type="dxa"/>
          </w:tcPr>
          <w:p w:rsidR="001613DC" w:rsidRPr="001613DC" w:rsidRDefault="000B6033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233.33</w:t>
            </w:r>
          </w:p>
        </w:tc>
      </w:tr>
      <w:tr w:rsidR="001613DC" w:rsidRPr="001613DC" w:rsidTr="001613DC">
        <w:trPr>
          <w:trHeight w:hRule="exact" w:val="346"/>
        </w:trPr>
        <w:tc>
          <w:tcPr>
            <w:tcW w:w="5080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Spaseno ostali plovni objekti</w:t>
            </w:r>
          </w:p>
        </w:tc>
        <w:tc>
          <w:tcPr>
            <w:tcW w:w="1176" w:type="dxa"/>
          </w:tcPr>
          <w:p w:rsidR="001613DC" w:rsidRPr="001613DC" w:rsidRDefault="001613DC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 w:rsidRPr="001613DC">
              <w:rPr>
                <w:rFonts w:cs="Arial"/>
                <w:lang w:val="en-US"/>
              </w:rPr>
              <w:t>15</w:t>
            </w:r>
          </w:p>
        </w:tc>
        <w:tc>
          <w:tcPr>
            <w:tcW w:w="1176" w:type="dxa"/>
          </w:tcPr>
          <w:p w:rsidR="001613DC" w:rsidRPr="001613DC" w:rsidRDefault="00F7428B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16</w:t>
            </w:r>
          </w:p>
        </w:tc>
        <w:tc>
          <w:tcPr>
            <w:tcW w:w="1466" w:type="dxa"/>
          </w:tcPr>
          <w:p w:rsidR="001613DC" w:rsidRPr="001613DC" w:rsidRDefault="000B6033" w:rsidP="001613DC">
            <w:pPr>
              <w:spacing w:after="0" w:line="276" w:lineRule="auto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106.66</w:t>
            </w:r>
          </w:p>
        </w:tc>
      </w:tr>
    </w:tbl>
    <w:p w:rsidR="001613DC" w:rsidRDefault="001613DC" w:rsidP="00B05983">
      <w:pPr>
        <w:spacing w:after="0"/>
        <w:rPr>
          <w:rFonts w:ascii="Times New Roman" w:hAnsi="Times New Roman"/>
          <w:b/>
        </w:rPr>
      </w:pPr>
    </w:p>
    <w:p w:rsidR="00C16D95" w:rsidRDefault="00C16D95" w:rsidP="00B05983">
      <w:pPr>
        <w:spacing w:after="0"/>
        <w:rPr>
          <w:rFonts w:ascii="Times New Roman" w:hAnsi="Times New Roman"/>
          <w:b/>
        </w:rPr>
      </w:pPr>
    </w:p>
    <w:p w:rsidR="00C16D95" w:rsidRDefault="00C16D95" w:rsidP="00B05983">
      <w:pPr>
        <w:spacing w:after="0"/>
        <w:rPr>
          <w:rFonts w:ascii="Times New Roman" w:hAnsi="Times New Roman"/>
          <w:b/>
        </w:rPr>
      </w:pPr>
    </w:p>
    <w:p w:rsidR="00C16D95" w:rsidRPr="009915CD" w:rsidRDefault="00C16D95" w:rsidP="00B05983">
      <w:pPr>
        <w:spacing w:after="0"/>
        <w:rPr>
          <w:rFonts w:ascii="Times New Roman" w:hAnsi="Times New Roman"/>
          <w:b/>
        </w:rPr>
      </w:pPr>
    </w:p>
    <w:p w:rsidR="00266552" w:rsidRPr="003F62EA" w:rsidRDefault="00266552" w:rsidP="00266552">
      <w:pPr>
        <w:spacing w:after="0" w:line="276" w:lineRule="auto"/>
        <w:jc w:val="both"/>
        <w:rPr>
          <w:rFonts w:cs="Arial"/>
          <w:lang w:val="hr-HR"/>
        </w:rPr>
      </w:pPr>
      <w:r w:rsidRPr="002177B8">
        <w:rPr>
          <w:rFonts w:cs="Arial"/>
          <w:lang w:val="hr-HR"/>
        </w:rPr>
        <w:t>U aktivnostima službe vezanim za spašavanje života na moru</w:t>
      </w:r>
      <w:r w:rsidRPr="003F62EA">
        <w:rPr>
          <w:rFonts w:cs="Arial"/>
          <w:lang w:val="hr-HR"/>
        </w:rPr>
        <w:t>, tijekom 202</w:t>
      </w:r>
      <w:r>
        <w:rPr>
          <w:rFonts w:cs="Arial"/>
          <w:lang w:val="hr-HR"/>
        </w:rPr>
        <w:t>2</w:t>
      </w:r>
      <w:r w:rsidRPr="003F62EA">
        <w:rPr>
          <w:rFonts w:cs="Arial"/>
          <w:lang w:val="hr-HR"/>
        </w:rPr>
        <w:t xml:space="preserve">. godine u odnosu </w:t>
      </w:r>
      <w:r>
        <w:rPr>
          <w:rFonts w:cs="Arial"/>
          <w:lang w:val="hr-HR"/>
        </w:rPr>
        <w:t>na prethodnu godinu, povećan je broj nezgoda sa smrtnim ishodom. B</w:t>
      </w:r>
      <w:r w:rsidRPr="003F62EA">
        <w:rPr>
          <w:rFonts w:cs="Arial"/>
          <w:lang w:val="hr-HR"/>
        </w:rPr>
        <w:t xml:space="preserve">roj smrtno stradalih osoba je </w:t>
      </w:r>
      <w:r>
        <w:rPr>
          <w:rFonts w:cs="Arial"/>
          <w:lang w:val="hr-HR"/>
        </w:rPr>
        <w:t>35</w:t>
      </w:r>
      <w:r w:rsidRPr="003F62EA">
        <w:rPr>
          <w:rFonts w:cs="Arial"/>
          <w:lang w:val="hr-HR"/>
        </w:rPr>
        <w:t xml:space="preserve">, </w:t>
      </w:r>
      <w:r>
        <w:rPr>
          <w:rFonts w:cs="Arial"/>
          <w:lang w:val="hr-HR"/>
        </w:rPr>
        <w:t>pri čemu je primjetan pad smrtnih slučajeva koji uključuju ronioce. Zabilježena su i 2 slučaja nestalih osoba, za razliku od 2021. godine kada nije bilo takvih slučajeva.</w:t>
      </w:r>
    </w:p>
    <w:p w:rsidR="00266552" w:rsidRDefault="00266552" w:rsidP="00B05983">
      <w:pPr>
        <w:spacing w:after="0"/>
        <w:jc w:val="both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"/>
        <w:gridCol w:w="6"/>
        <w:gridCol w:w="6821"/>
        <w:gridCol w:w="1896"/>
        <w:gridCol w:w="193"/>
      </w:tblGrid>
      <w:tr w:rsidR="00C16D95" w:rsidRPr="009821BE" w:rsidTr="00394B10">
        <w:trPr>
          <w:trHeight w:val="413"/>
        </w:trPr>
        <w:tc>
          <w:tcPr>
            <w:tcW w:w="902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26"/>
            </w:tblGrid>
            <w:tr w:rsidR="00C16D95" w:rsidRPr="00564C6B">
              <w:trPr>
                <w:trHeight w:val="33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E06412">
                  <w:pPr>
                    <w:pStyle w:val="Odlomakpopisa"/>
                    <w:ind w:left="555"/>
                    <w:jc w:val="center"/>
                    <w:rPr>
                      <w:rFonts w:cs="Arial"/>
                      <w:u w:val="single"/>
                      <w:lang w:val="en-US"/>
                    </w:rPr>
                  </w:pPr>
                  <w:r w:rsidRPr="00564C6B">
                    <w:rPr>
                      <w:rFonts w:cs="Arial"/>
                      <w:b/>
                    </w:rPr>
                    <w:t>4.</w:t>
                  </w:r>
                  <w:r w:rsidRPr="00564C6B">
                    <w:rPr>
                      <w:rFonts w:cs="Arial"/>
                      <w:b/>
                      <w:u w:val="single"/>
                    </w:rPr>
                    <w:t xml:space="preserve"> USPOREDNI PRIKAZ IZVANREDNIH DOGAĐAJA PREMA NAJZNAČAJNIJIM VRSTAMA ZA 2021. i 2022. GODINU</w:t>
                  </w:r>
                </w:p>
              </w:tc>
            </w:tr>
          </w:tbl>
          <w:p w:rsidR="00C16D95" w:rsidRPr="00564C6B" w:rsidRDefault="00C16D95">
            <w:pPr>
              <w:rPr>
                <w:rFonts w:cs="Arial"/>
                <w:u w:val="single"/>
                <w:lang w:val="en-US"/>
              </w:rPr>
            </w:pPr>
          </w:p>
        </w:tc>
      </w:tr>
      <w:tr w:rsidR="00C16D95" w:rsidRPr="009821BE" w:rsidTr="00BC5340">
        <w:trPr>
          <w:gridAfter w:val="1"/>
          <w:wAfter w:w="193" w:type="dxa"/>
          <w:trHeight w:val="532"/>
        </w:trPr>
        <w:tc>
          <w:tcPr>
            <w:tcW w:w="110" w:type="dxa"/>
          </w:tcPr>
          <w:p w:rsidR="00C16D95" w:rsidRPr="00564C6B" w:rsidRDefault="00C16D95">
            <w:pPr>
              <w:pStyle w:val="EmptyLayoutCell"/>
              <w:rPr>
                <w:rFonts w:ascii="Arial" w:hAnsi="Arial" w:cs="Arial"/>
                <w:u w:val="single"/>
              </w:rPr>
            </w:pPr>
          </w:p>
        </w:tc>
        <w:tc>
          <w:tcPr>
            <w:tcW w:w="6" w:type="dxa"/>
          </w:tcPr>
          <w:p w:rsidR="00C16D95" w:rsidRPr="00564C6B" w:rsidRDefault="00C16D95">
            <w:pPr>
              <w:pStyle w:val="EmptyLayoutCell"/>
              <w:rPr>
                <w:rFonts w:ascii="Arial" w:hAnsi="Arial" w:cs="Arial"/>
                <w:u w:val="single"/>
              </w:rPr>
            </w:pPr>
          </w:p>
        </w:tc>
        <w:tc>
          <w:tcPr>
            <w:tcW w:w="6821" w:type="dxa"/>
          </w:tcPr>
          <w:p w:rsidR="00C16D95" w:rsidRPr="00564C6B" w:rsidRDefault="00C16D95">
            <w:pPr>
              <w:pStyle w:val="EmptyLayoutCell"/>
              <w:rPr>
                <w:rFonts w:ascii="Arial" w:hAnsi="Arial" w:cs="Arial"/>
                <w:u w:val="single"/>
              </w:rPr>
            </w:pPr>
          </w:p>
        </w:tc>
        <w:tc>
          <w:tcPr>
            <w:tcW w:w="1896" w:type="dxa"/>
          </w:tcPr>
          <w:p w:rsidR="00C16D95" w:rsidRPr="00564C6B" w:rsidRDefault="00C16D95" w:rsidP="004F3AD7">
            <w:pPr>
              <w:rPr>
                <w:u w:val="single"/>
                <w:lang w:val="en-US"/>
              </w:rPr>
            </w:pPr>
          </w:p>
        </w:tc>
      </w:tr>
      <w:tr w:rsidR="00C16D95" w:rsidRPr="009821BE" w:rsidTr="00BC5340">
        <w:trPr>
          <w:gridAfter w:val="1"/>
          <w:wAfter w:w="193" w:type="dxa"/>
        </w:trPr>
        <w:tc>
          <w:tcPr>
            <w:tcW w:w="110" w:type="dxa"/>
          </w:tcPr>
          <w:p w:rsidR="00C16D95" w:rsidRPr="00564C6B" w:rsidRDefault="00C16D95" w:rsidP="00394B10">
            <w:pPr>
              <w:pStyle w:val="Bezproreda"/>
              <w:rPr>
                <w:u w:val="single"/>
              </w:rPr>
            </w:pPr>
          </w:p>
        </w:tc>
        <w:tc>
          <w:tcPr>
            <w:tcW w:w="6" w:type="dxa"/>
          </w:tcPr>
          <w:p w:rsidR="00C16D95" w:rsidRPr="00564C6B" w:rsidRDefault="00C16D95" w:rsidP="00394B10">
            <w:pPr>
              <w:pStyle w:val="Bezproreda"/>
              <w:rPr>
                <w:u w:val="single"/>
              </w:rPr>
            </w:pPr>
          </w:p>
        </w:tc>
        <w:tc>
          <w:tcPr>
            <w:tcW w:w="8717" w:type="dxa"/>
            <w:gridSpan w:val="2"/>
          </w:tcPr>
          <w:tbl>
            <w:tblPr>
              <w:tblW w:w="8684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86"/>
              <w:gridCol w:w="777"/>
              <w:gridCol w:w="1571"/>
              <w:gridCol w:w="579"/>
              <w:gridCol w:w="1097"/>
              <w:gridCol w:w="2274"/>
            </w:tblGrid>
            <w:tr w:rsidR="00C16D95" w:rsidRPr="00564C6B" w:rsidTr="00A649D1">
              <w:trPr>
                <w:trHeight w:val="307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VRSTA NESREĆE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2021.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2021. %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2022.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2022. %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INDEKS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NASUKANJE I UDAR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43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6.45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39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6.77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90.70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POTONUĆE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18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2.70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1.39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44.44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SUDAR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17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2.55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17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2.95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100.00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POŽAR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27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4.05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11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1.91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40.74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NESPOSOBAN ZA PLOVIDBU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51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7.65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31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5.38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60.78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NAPLAVLJIVANJE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1.05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1.22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100.00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EKSPLOZIJA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0.15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0.17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100.00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MEDICAL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231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34.63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259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44.97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112.12</w:t>
                  </w:r>
                </w:p>
              </w:tc>
            </w:tr>
            <w:tr w:rsidR="00C16D95" w:rsidRPr="00564C6B" w:rsidTr="00EC0463">
              <w:trPr>
                <w:trHeight w:val="262"/>
              </w:trPr>
              <w:tc>
                <w:tcPr>
                  <w:tcW w:w="2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OPASAN NAGIB, PREVRNUĆE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</w:p>
              </w:tc>
              <w:tc>
                <w:tcPr>
                  <w:tcW w:w="1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394B10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0.75</w:t>
                  </w:r>
                </w:p>
              </w:tc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6D95" w:rsidRPr="00564C6B" w:rsidRDefault="00C16D95" w:rsidP="00D652C1">
                  <w:pPr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</w:p>
              </w:tc>
              <w:tc>
                <w:tcPr>
                  <w:tcW w:w="10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sz w:val="20"/>
                      <w:szCs w:val="20"/>
                      <w:u w:val="single"/>
                    </w:rPr>
                    <w:t>01.39</w:t>
                  </w:r>
                </w:p>
              </w:tc>
              <w:tc>
                <w:tcPr>
                  <w:tcW w:w="22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564C6B" w:rsidRDefault="00C16D95" w:rsidP="00D652C1">
                  <w:pPr>
                    <w:pStyle w:val="Bezproreda"/>
                    <w:rPr>
                      <w:rFonts w:cs="Arial"/>
                      <w:sz w:val="20"/>
                      <w:szCs w:val="20"/>
                      <w:u w:val="single"/>
                    </w:rPr>
                  </w:pPr>
                  <w:r w:rsidRPr="00564C6B">
                    <w:rPr>
                      <w:rFonts w:cs="Arial"/>
                      <w:color w:val="000000"/>
                      <w:sz w:val="20"/>
                      <w:szCs w:val="20"/>
                      <w:u w:val="single"/>
                    </w:rPr>
                    <w:t>160.00</w:t>
                  </w:r>
                </w:p>
              </w:tc>
            </w:tr>
          </w:tbl>
          <w:p w:rsidR="00C16D95" w:rsidRPr="00564C6B" w:rsidRDefault="00C16D95" w:rsidP="00394B10">
            <w:pPr>
              <w:pStyle w:val="Bezproreda"/>
              <w:rPr>
                <w:u w:val="single"/>
              </w:rPr>
            </w:pPr>
          </w:p>
          <w:p w:rsidR="00C16D95" w:rsidRPr="00564C6B" w:rsidRDefault="00C16D95" w:rsidP="00394B10">
            <w:pPr>
              <w:pStyle w:val="Bezproreda"/>
              <w:rPr>
                <w:u w:val="single"/>
              </w:rPr>
            </w:pPr>
          </w:p>
        </w:tc>
      </w:tr>
    </w:tbl>
    <w:p w:rsidR="00C16D95" w:rsidRDefault="00C16D95" w:rsidP="00B36FF3"/>
    <w:p w:rsidR="00564C6B" w:rsidRDefault="00564C6B" w:rsidP="00B36FF3"/>
    <w:p w:rsidR="00C16D95" w:rsidRDefault="00C16D95" w:rsidP="00B36FF3">
      <w:r>
        <w:t xml:space="preserve">U 2022.godini </w:t>
      </w:r>
      <w:r w:rsidR="00564C6B">
        <w:t>je zabilježen</w:t>
      </w:r>
      <w:r>
        <w:t xml:space="preserve"> sličan broj izvanrednih događaja na moru u odnosu na prethodnu godinu. </w:t>
      </w:r>
      <w:r w:rsidR="00564C6B">
        <w:t>Porast akcija bilježi se u kategorijama– daskaši i slična plovila i medical</w:t>
      </w:r>
      <w:r>
        <w:t>.U ostalim segmentima broj izvanrednih događaja je na razini predhodne godine ili je u opadanju.</w:t>
      </w:r>
    </w:p>
    <w:p w:rsidR="00C16D95" w:rsidRDefault="00C16D95" w:rsidP="00B36FF3"/>
    <w:tbl>
      <w:tblPr>
        <w:tblW w:w="10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61"/>
        <w:gridCol w:w="20"/>
        <w:gridCol w:w="7343"/>
        <w:gridCol w:w="173"/>
        <w:gridCol w:w="3093"/>
      </w:tblGrid>
      <w:tr w:rsidR="00C16D95" w:rsidRPr="009821BE" w:rsidTr="008522B4">
        <w:trPr>
          <w:trHeight w:val="623"/>
        </w:trPr>
        <w:tc>
          <w:tcPr>
            <w:tcW w:w="10810" w:type="dxa"/>
            <w:gridSpan w:val="6"/>
          </w:tcPr>
          <w:tbl>
            <w:tblPr>
              <w:tblW w:w="109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"/>
              <w:gridCol w:w="328"/>
              <w:gridCol w:w="5967"/>
              <w:gridCol w:w="20"/>
              <w:gridCol w:w="4587"/>
            </w:tblGrid>
            <w:tr w:rsidR="00C16D95" w:rsidRPr="009821BE" w:rsidTr="00A77356">
              <w:trPr>
                <w:trHeight w:val="353"/>
              </w:trPr>
              <w:tc>
                <w:tcPr>
                  <w:tcW w:w="10980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C16D95" w:rsidRPr="009821BE" w:rsidTr="00FA1AB3">
                    <w:trPr>
                      <w:trHeight w:val="275"/>
                    </w:trPr>
                    <w:tc>
                      <w:tcPr>
                        <w:tcW w:w="10771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0B0A08">
                        <w:pPr>
                          <w:pStyle w:val="Odlomakpopisa"/>
                          <w:ind w:left="555"/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5. </w:t>
                        </w:r>
                        <w:r w:rsidRPr="00564C6B"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USPOREDNI PRIKAZ AKCIJA PREMA TERITORIJALNOM</w:t>
                        </w:r>
                        <w:r w:rsidRPr="00B54BC3"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 xml:space="preserve"> PODRUČJU:</w:t>
                        </w:r>
                      </w:p>
                    </w:tc>
                  </w:tr>
                </w:tbl>
                <w:p w:rsidR="00C16D95" w:rsidRPr="009821BE" w:rsidRDefault="00C16D95" w:rsidP="00B90767"/>
              </w:tc>
            </w:tr>
            <w:tr w:rsidR="00C16D95" w:rsidRPr="009821BE" w:rsidTr="00A77356">
              <w:trPr>
                <w:trHeight w:val="273"/>
              </w:trPr>
              <w:tc>
                <w:tcPr>
                  <w:tcW w:w="78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  <w:tc>
                <w:tcPr>
                  <w:tcW w:w="328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  <w:tc>
                <w:tcPr>
                  <w:tcW w:w="5967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  <w:tc>
                <w:tcPr>
                  <w:tcW w:w="4587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</w:tr>
            <w:tr w:rsidR="00C16D95" w:rsidRPr="009821BE" w:rsidTr="00A77356">
              <w:tc>
                <w:tcPr>
                  <w:tcW w:w="78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  <w:tc>
                <w:tcPr>
                  <w:tcW w:w="6315" w:type="dxa"/>
                  <w:gridSpan w:val="3"/>
                </w:tcPr>
                <w:tbl>
                  <w:tblPr>
                    <w:tblW w:w="89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87"/>
                    <w:gridCol w:w="867"/>
                    <w:gridCol w:w="900"/>
                    <w:gridCol w:w="3946"/>
                  </w:tblGrid>
                  <w:tr w:rsidR="00C16D95" w:rsidRPr="009821BE" w:rsidTr="00FA1AB3">
                    <w:trPr>
                      <w:trHeight w:val="287"/>
                    </w:trPr>
                    <w:tc>
                      <w:tcPr>
                        <w:tcW w:w="31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821B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PODRUČJE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2021</w:t>
                        </w:r>
                        <w:r w:rsidRPr="009821B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2022.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FA1AB3">
                        <w:pPr>
                          <w:tabs>
                            <w:tab w:val="center" w:pos="1934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INDEKS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  <w:t>IIii</w:t>
                        </w:r>
                        <w:r w:rsidRPr="009821B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INDEKS</w:t>
                        </w:r>
                      </w:p>
                    </w:tc>
                  </w:tr>
                  <w:tr w:rsidR="00C16D95" w:rsidRPr="009821BE" w:rsidTr="00FA1AB3">
                    <w:trPr>
                      <w:trHeight w:val="506"/>
                    </w:trPr>
                    <w:tc>
                      <w:tcPr>
                        <w:tcW w:w="31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rPr>
                            <w:sz w:val="20"/>
                            <w:szCs w:val="20"/>
                          </w:rPr>
                        </w:pPr>
                        <w:r w:rsidRPr="009821BE">
                          <w:rPr>
                            <w:color w:val="000000"/>
                            <w:sz w:val="20"/>
                            <w:szCs w:val="20"/>
                          </w:rPr>
                          <w:t>Unutarnje morske vode i teritorijalno more Republike Hrv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546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FA1AB3">
                        <w:pPr>
                          <w:tabs>
                            <w:tab w:val="right" w:pos="3868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89.95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9821BE">
                          <w:rPr>
                            <w:color w:val="000000"/>
                            <w:sz w:val="20"/>
                            <w:szCs w:val="20"/>
                          </w:rPr>
                          <w:t>78.64</w:t>
                        </w:r>
                      </w:p>
                    </w:tc>
                  </w:tr>
                  <w:tr w:rsidR="00C16D95" w:rsidRPr="009821BE" w:rsidTr="00FA1AB3">
                    <w:trPr>
                      <w:trHeight w:val="262"/>
                    </w:trPr>
                    <w:tc>
                      <w:tcPr>
                        <w:tcW w:w="31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rPr>
                            <w:sz w:val="20"/>
                            <w:szCs w:val="20"/>
                          </w:rPr>
                        </w:pPr>
                        <w:r w:rsidRPr="009821BE">
                          <w:rPr>
                            <w:color w:val="000000"/>
                            <w:sz w:val="20"/>
                            <w:szCs w:val="20"/>
                          </w:rPr>
                          <w:t>Zaštićeni ekološko-ribolovni pojas Republike Hrvatske i izvan podr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FA1AB3" w:rsidRDefault="00C16D95" w:rsidP="00FA1AB3">
                        <w:pPr>
                          <w:tabs>
                            <w:tab w:val="right" w:pos="3868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100.00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Pr="009821BE">
                          <w:rPr>
                            <w:color w:val="000000"/>
                            <w:sz w:val="20"/>
                            <w:szCs w:val="20"/>
                          </w:rPr>
                          <w:t>45.45</w:t>
                        </w:r>
                        <w:r>
                          <w:rPr>
                            <w:sz w:val="20"/>
                            <w:szCs w:val="20"/>
                          </w:rPr>
                          <w:t>60.00</w:t>
                        </w:r>
                      </w:p>
                    </w:tc>
                  </w:tr>
                  <w:tr w:rsidR="00C16D95" w:rsidRPr="009821BE" w:rsidTr="00FA1AB3">
                    <w:trPr>
                      <w:trHeight w:val="262"/>
                    </w:trPr>
                    <w:tc>
                      <w:tcPr>
                        <w:tcW w:w="31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rPr>
                            <w:sz w:val="20"/>
                            <w:szCs w:val="20"/>
                          </w:rPr>
                        </w:pPr>
                        <w:r w:rsidRPr="009821BE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UKUPNO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B90767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C16D95" w:rsidP="00A0398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549</w:t>
                        </w:r>
                      </w:p>
                    </w:tc>
                    <w:tc>
                      <w:tcPr>
                        <w:tcW w:w="3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16D95" w:rsidRPr="009821BE" w:rsidRDefault="00564C6B" w:rsidP="00B9076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90.00</w:t>
                        </w:r>
                      </w:p>
                    </w:tc>
                  </w:tr>
                </w:tbl>
                <w:p w:rsidR="00C16D95" w:rsidRPr="009821BE" w:rsidRDefault="00C16D95" w:rsidP="00B90767"/>
              </w:tc>
              <w:tc>
                <w:tcPr>
                  <w:tcW w:w="4587" w:type="dxa"/>
                </w:tcPr>
                <w:p w:rsidR="00C16D95" w:rsidRDefault="00C16D95" w:rsidP="00B90767">
                  <w:pPr>
                    <w:pStyle w:val="EmptyLayoutCell"/>
                  </w:pPr>
                </w:p>
              </w:tc>
            </w:tr>
          </w:tbl>
          <w:p w:rsidR="00C16D95" w:rsidRDefault="00C16D95"/>
          <w:tbl>
            <w:tblPr>
              <w:tblpPr w:leftFromText="180" w:rightFromText="180" w:vertAnchor="text" w:horzAnchor="margin" w:tblpYSpec="outside"/>
              <w:tblOverlap w:val="never"/>
              <w:tblW w:w="90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26"/>
            </w:tblGrid>
            <w:tr w:rsidR="00C16D95" w:rsidRPr="009821BE" w:rsidTr="0074313D">
              <w:trPr>
                <w:trHeight w:val="545"/>
              </w:trPr>
              <w:tc>
                <w:tcPr>
                  <w:tcW w:w="902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4C6B" w:rsidRDefault="00C16D95" w:rsidP="00564C6B">
                  <w:pPr>
                    <w:jc w:val="both"/>
                    <w:rPr>
                      <w:lang w:val="hr-HR"/>
                    </w:rPr>
                  </w:pPr>
                  <w:r>
                    <w:t>Tijekom 2022</w:t>
                  </w:r>
                  <w:r w:rsidR="00564C6B" w:rsidRPr="002C2196">
                    <w:rPr>
                      <w:lang w:val="hr-HR"/>
                    </w:rPr>
                    <w:t>. godine u području</w:t>
                  </w:r>
                  <w:r w:rsidR="00564C6B">
                    <w:rPr>
                      <w:lang w:val="hr-HR"/>
                    </w:rPr>
                    <w:t xml:space="preserve"> unutarn</w:t>
                  </w:r>
                  <w:r w:rsidR="00564C6B" w:rsidRPr="002C2196">
                    <w:rPr>
                      <w:lang w:val="hr-HR"/>
                    </w:rPr>
                    <w:t xml:space="preserve">jih morskih voda i </w:t>
                  </w:r>
                  <w:r w:rsidR="00564C6B">
                    <w:rPr>
                      <w:lang w:val="hr-HR"/>
                    </w:rPr>
                    <w:t>teritorijalnog mora poduzeto je 546</w:t>
                  </w:r>
                  <w:r w:rsidR="00564C6B" w:rsidRPr="002C2196">
                    <w:rPr>
                      <w:lang w:val="hr-HR"/>
                    </w:rPr>
                    <w:t xml:space="preserve"> SAR akcija (99</w:t>
                  </w:r>
                  <w:r w:rsidR="00564C6B">
                    <w:rPr>
                      <w:lang w:val="hr-HR"/>
                    </w:rPr>
                    <w:t>,5</w:t>
                  </w:r>
                  <w:r w:rsidR="00564C6B" w:rsidRPr="002C2196">
                    <w:rPr>
                      <w:lang w:val="hr-HR"/>
                    </w:rPr>
                    <w:t xml:space="preserve">%), a u području ZERP-a </w:t>
                  </w:r>
                  <w:r w:rsidR="00564C6B">
                    <w:rPr>
                      <w:lang w:val="hr-HR"/>
                    </w:rPr>
                    <w:t>3</w:t>
                  </w:r>
                  <w:r w:rsidR="00564C6B" w:rsidRPr="002C2196">
                    <w:rPr>
                      <w:lang w:val="hr-HR"/>
                    </w:rPr>
                    <w:t xml:space="preserve"> akcij</w:t>
                  </w:r>
                  <w:r w:rsidR="00564C6B">
                    <w:rPr>
                      <w:lang w:val="hr-HR"/>
                    </w:rPr>
                    <w:t>e</w:t>
                  </w:r>
                  <w:r w:rsidR="00564C6B" w:rsidRPr="002C2196">
                    <w:rPr>
                      <w:lang w:val="hr-HR"/>
                    </w:rPr>
                    <w:t xml:space="preserve"> (</w:t>
                  </w:r>
                  <w:r w:rsidR="00564C6B">
                    <w:rPr>
                      <w:lang w:val="hr-HR"/>
                    </w:rPr>
                    <w:t>0,5</w:t>
                  </w:r>
                  <w:r w:rsidR="00564C6B" w:rsidRPr="002C2196">
                    <w:rPr>
                      <w:lang w:val="hr-HR"/>
                    </w:rPr>
                    <w:t>%).</w:t>
                  </w:r>
                </w:p>
                <w:p w:rsidR="00564C6B" w:rsidRPr="002E5A01" w:rsidRDefault="00564C6B" w:rsidP="00564C6B">
                  <w:pPr>
                    <w:jc w:val="both"/>
                    <w:rPr>
                      <w:lang w:val="hr-HR"/>
                    </w:rPr>
                  </w:pPr>
                </w:p>
                <w:p w:rsidR="001B736F" w:rsidRDefault="001B736F" w:rsidP="00E06412">
                  <w:pPr>
                    <w:pStyle w:val="Odlomakpopisa"/>
                    <w:ind w:left="555"/>
                    <w:rPr>
                      <w:b/>
                      <w:color w:val="000000"/>
                      <w:sz w:val="24"/>
                    </w:rPr>
                  </w:pPr>
                </w:p>
                <w:p w:rsidR="001B736F" w:rsidRDefault="001B736F" w:rsidP="00E06412">
                  <w:pPr>
                    <w:pStyle w:val="Odlomakpopisa"/>
                    <w:ind w:left="555"/>
                    <w:rPr>
                      <w:b/>
                      <w:color w:val="000000"/>
                      <w:sz w:val="24"/>
                    </w:rPr>
                  </w:pPr>
                </w:p>
                <w:p w:rsidR="001B736F" w:rsidRDefault="001B736F" w:rsidP="00E06412">
                  <w:pPr>
                    <w:pStyle w:val="Odlomakpopisa"/>
                    <w:ind w:left="555"/>
                    <w:rPr>
                      <w:b/>
                      <w:color w:val="000000"/>
                      <w:sz w:val="24"/>
                    </w:rPr>
                  </w:pPr>
                </w:p>
                <w:p w:rsidR="001B736F" w:rsidRDefault="001B736F" w:rsidP="00E06412">
                  <w:pPr>
                    <w:pStyle w:val="Odlomakpopisa"/>
                    <w:ind w:left="555"/>
                    <w:rPr>
                      <w:b/>
                      <w:color w:val="000000"/>
                      <w:sz w:val="24"/>
                    </w:rPr>
                  </w:pPr>
                </w:p>
                <w:p w:rsidR="00C16D95" w:rsidRPr="009821BE" w:rsidRDefault="00C16D95" w:rsidP="00E06412">
                  <w:pPr>
                    <w:pStyle w:val="Odlomakpopisa"/>
                    <w:ind w:left="555"/>
                  </w:pPr>
                  <w:r>
                    <w:rPr>
                      <w:b/>
                      <w:color w:val="000000"/>
                      <w:sz w:val="24"/>
                    </w:rPr>
                    <w:t xml:space="preserve">6. </w:t>
                  </w:r>
                  <w:r w:rsidRPr="00564C6B">
                    <w:rPr>
                      <w:b/>
                      <w:color w:val="000000"/>
                      <w:sz w:val="24"/>
                      <w:u w:val="single"/>
                    </w:rPr>
                    <w:t>USPOREDNI PRIKAZ BROJA SAR AKCIJA PREMA PODRUČJIMA NADLEŽNOSTI LUČKIH</w:t>
                  </w:r>
                  <w:r>
                    <w:rPr>
                      <w:b/>
                      <w:color w:val="000000"/>
                      <w:sz w:val="24"/>
                      <w:u w:val="single"/>
                    </w:rPr>
                    <w:t xml:space="preserve"> KAPETANIJA ZA 2020. I 2021</w:t>
                  </w:r>
                  <w:r w:rsidRPr="009821BE">
                    <w:rPr>
                      <w:b/>
                      <w:color w:val="000000"/>
                      <w:sz w:val="24"/>
                      <w:u w:val="single"/>
                    </w:rPr>
                    <w:t>.GODINU:</w:t>
                  </w:r>
                </w:p>
              </w:tc>
            </w:tr>
          </w:tbl>
          <w:p w:rsidR="00C16D95" w:rsidRPr="009821BE" w:rsidRDefault="00C16D95"/>
          <w:p w:rsidR="00C16D95" w:rsidRPr="009821BE" w:rsidRDefault="00C16D95" w:rsidP="00B90767"/>
        </w:tc>
      </w:tr>
      <w:tr w:rsidR="00C16D95" w:rsidRPr="009821BE" w:rsidTr="008522B4">
        <w:trPr>
          <w:gridAfter w:val="1"/>
          <w:wAfter w:w="3093" w:type="dxa"/>
          <w:trHeight w:val="303"/>
        </w:trPr>
        <w:tc>
          <w:tcPr>
            <w:tcW w:w="20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161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20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7343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173" w:type="dxa"/>
          </w:tcPr>
          <w:p w:rsidR="00C16D95" w:rsidRDefault="00C16D95" w:rsidP="00B90767">
            <w:pPr>
              <w:pStyle w:val="EmptyLayoutCell"/>
            </w:pPr>
          </w:p>
        </w:tc>
      </w:tr>
      <w:tr w:rsidR="00C16D95" w:rsidRPr="009821BE" w:rsidTr="008522B4">
        <w:trPr>
          <w:gridAfter w:val="1"/>
          <w:wAfter w:w="3093" w:type="dxa"/>
        </w:trPr>
        <w:tc>
          <w:tcPr>
            <w:tcW w:w="20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161" w:type="dxa"/>
          </w:tcPr>
          <w:p w:rsidR="00C16D95" w:rsidRDefault="00C16D95" w:rsidP="00B90767">
            <w:pPr>
              <w:pStyle w:val="EmptyLayoutCell"/>
            </w:pPr>
          </w:p>
        </w:tc>
        <w:tc>
          <w:tcPr>
            <w:tcW w:w="7536" w:type="dxa"/>
            <w:gridSpan w:val="3"/>
          </w:tcPr>
          <w:tbl>
            <w:tblPr>
              <w:tblW w:w="72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955"/>
              <w:gridCol w:w="1005"/>
              <w:gridCol w:w="1065"/>
              <w:gridCol w:w="1007"/>
              <w:gridCol w:w="1065"/>
            </w:tblGrid>
            <w:tr w:rsidR="00C16D95" w:rsidRPr="009821BE" w:rsidTr="001613DC">
              <w:trPr>
                <w:trHeight w:val="353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74313D">
                  <w:pPr>
                    <w:tabs>
                      <w:tab w:val="left" w:pos="233"/>
                      <w:tab w:val="center" w:pos="126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ab/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ab/>
                  </w: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LUČKA KAPETANIJA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2021</w:t>
                  </w: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2021</w:t>
                  </w: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. %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center"/>
                    <w:rPr>
                      <w:sz w:val="16"/>
                      <w:szCs w:val="16"/>
                    </w:rPr>
                  </w:pP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center"/>
                    <w:rPr>
                      <w:sz w:val="16"/>
                      <w:szCs w:val="16"/>
                    </w:rPr>
                  </w:pP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202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. %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center"/>
                    <w:rPr>
                      <w:sz w:val="16"/>
                      <w:szCs w:val="16"/>
                    </w:rPr>
                  </w:pPr>
                  <w:r w:rsidRPr="009821BE">
                    <w:rPr>
                      <w:b/>
                      <w:color w:val="000000"/>
                      <w:sz w:val="16"/>
                      <w:szCs w:val="16"/>
                    </w:rPr>
                    <w:t>INDEKS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Type">
                    <w:smartTag w:uri="urn:schemas-microsoft-com:office:smarttags" w:element="City">
                      <w:smartTag w:uri="urn:schemas-microsoft-com:office:smarttags" w:element="place">
                        <w:r w:rsidRPr="009821BE">
                          <w:rPr>
                            <w:color w:val="000000"/>
                            <w:sz w:val="16"/>
                            <w:szCs w:val="16"/>
                          </w:rPr>
                          <w:t>PULA</w:t>
                        </w:r>
                      </w:smartTag>
                    </w:smartTag>
                  </w:smartTag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5,25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3.83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65.63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Type">
                    <w:smartTag w:uri="urn:schemas-microsoft-com:office:smarttags" w:element="City">
                      <w:smartTag w:uri="urn:schemas-microsoft-com:office:smarttags" w:element="place">
                        <w:r w:rsidRPr="009821BE">
                          <w:rPr>
                            <w:color w:val="000000"/>
                            <w:sz w:val="16"/>
                            <w:szCs w:val="16"/>
                          </w:rPr>
                          <w:t>RIJEKA</w:t>
                        </w:r>
                      </w:smartTag>
                    </w:smartTag>
                  </w:smartTag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11,33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79.71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SENJ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1,31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287.50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ZADAR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32,13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F054F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DB4E3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42.96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119</w:t>
                  </w:r>
                  <w:r w:rsidRPr="009821BE">
                    <w:rPr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ŠIBENIK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20,16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F054F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DB4E3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16.39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73.17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Type">
                    <w:smartTag w:uri="urn:schemas-microsoft-com:office:smarttags" w:element="City">
                      <w:smartTag w:uri="urn:schemas-microsoft-com:office:smarttags" w:element="place">
                        <w:r w:rsidRPr="009821BE">
                          <w:rPr>
                            <w:color w:val="000000"/>
                            <w:sz w:val="16"/>
                            <w:szCs w:val="16"/>
                          </w:rPr>
                          <w:t>SPLIT</w:t>
                        </w:r>
                      </w:smartTag>
                    </w:smartTag>
                  </w:smartTag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19,84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DB4E3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DB4E3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11.84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DB4E3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53.72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PLOČE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0,98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6A10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0.55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821BE">
                        <w:rPr>
                          <w:color w:val="000000"/>
                          <w:sz w:val="16"/>
                          <w:szCs w:val="16"/>
                        </w:rPr>
                        <w:t>DUBROVNIK</w:t>
                      </w:r>
                    </w:smartTag>
                  </w:smartTag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8,52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105.77</w:t>
                  </w:r>
                </w:p>
              </w:tc>
            </w:tr>
            <w:tr w:rsidR="00C16D95" w:rsidRPr="009821BE" w:rsidTr="001613DC">
              <w:trPr>
                <w:trHeight w:val="301"/>
              </w:trPr>
              <w:tc>
                <w:tcPr>
                  <w:tcW w:w="2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rPr>
                      <w:sz w:val="16"/>
                      <w:szCs w:val="16"/>
                    </w:rPr>
                  </w:pPr>
                  <w:r w:rsidRPr="009821BE">
                    <w:rPr>
                      <w:color w:val="000000"/>
                      <w:sz w:val="16"/>
                      <w:szCs w:val="16"/>
                    </w:rPr>
                    <w:t>ZERP I IZVAN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0,49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0.55</w:t>
                  </w:r>
                </w:p>
              </w:tc>
              <w:tc>
                <w:tcPr>
                  <w:tcW w:w="10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B9076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</w:tr>
          </w:tbl>
          <w:p w:rsidR="00C16D95" w:rsidRPr="009821BE" w:rsidRDefault="00C16D95" w:rsidP="00B90767"/>
        </w:tc>
      </w:tr>
    </w:tbl>
    <w:p w:rsidR="00C16D95" w:rsidRDefault="00C16D95" w:rsidP="00B36FF3"/>
    <w:p w:rsidR="00C16D95" w:rsidRDefault="00C16D95" w:rsidP="00B36FF3"/>
    <w:p w:rsidR="001B736F" w:rsidRDefault="009D126F" w:rsidP="00B36FF3">
      <w:r>
        <w:rPr>
          <w:noProof/>
          <w:lang w:val="hr-HR" w:eastAsia="hr-HR"/>
        </w:rPr>
        <w:drawing>
          <wp:anchor distT="0" distB="1016" distL="114300" distR="114300" simplePos="0" relativeHeight="251659264" behindDoc="0" locked="0" layoutInCell="1" allowOverlap="1" wp14:anchorId="5695C04B" wp14:editId="6A90D186">
            <wp:simplePos x="0" y="0"/>
            <wp:positionH relativeFrom="column">
              <wp:posOffset>-444500</wp:posOffset>
            </wp:positionH>
            <wp:positionV relativeFrom="paragraph">
              <wp:posOffset>274955</wp:posOffset>
            </wp:positionV>
            <wp:extent cx="6407150" cy="3200400"/>
            <wp:effectExtent l="0" t="0" r="12700" b="0"/>
            <wp:wrapSquare wrapText="right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6F" w:rsidRDefault="001B736F" w:rsidP="00B36FF3"/>
    <w:p w:rsidR="001613DC" w:rsidRDefault="001613DC" w:rsidP="00B36FF3"/>
    <w:p w:rsidR="001613DC" w:rsidRDefault="001613DC" w:rsidP="00B36FF3"/>
    <w:p w:rsidR="001613DC" w:rsidRDefault="001613DC" w:rsidP="00B36FF3"/>
    <w:p w:rsidR="00C16D95" w:rsidRDefault="001613DC" w:rsidP="00C75592">
      <w:r>
        <w:t xml:space="preserve">U prethodnoj godini zabilježen je značajniji porast u broju intervencija </w:t>
      </w:r>
      <w:r w:rsidR="00C16D95">
        <w:t>Lučk</w:t>
      </w:r>
      <w:r>
        <w:t xml:space="preserve">kih </w:t>
      </w:r>
      <w:r w:rsidR="00C16D95">
        <w:t xml:space="preserve">kapetanij  Zadar i  </w:t>
      </w:r>
      <w:r w:rsidR="001B736F">
        <w:t>Split.</w:t>
      </w:r>
    </w:p>
    <w:p w:rsidR="00C16D95" w:rsidRDefault="00C16D95" w:rsidP="00C75592">
      <w:r>
        <w:t>Najveći broj  upisanih SAR akcija u 2022.godini ostvarila je LK Zadar sa 234 SAR akcije ( iz čega proizlazi da je LK Zadar izvršila  1/3 svih upisanih SAR akcija, koje se u dosta velikoj mjeri odnose na veliki broj medico pr</w:t>
      </w:r>
      <w:r w:rsidR="001B736F">
        <w:t>i</w:t>
      </w:r>
      <w:r>
        <w:t xml:space="preserve">jevoza stanovnika otočića na području nadležnosti LK Zadar ). Povećani broj SAR akcija bilježi i Kapetanija </w:t>
      </w:r>
      <w:r w:rsidR="001B736F">
        <w:t>Split,</w:t>
      </w:r>
      <w:r>
        <w:t xml:space="preserve"> na povećanje akcija u nadležnosti LK S</w:t>
      </w:r>
      <w:r w:rsidR="001B736F">
        <w:t>plit</w:t>
      </w:r>
      <w:r>
        <w:t xml:space="preserve"> utjecalo je </w:t>
      </w:r>
      <w:r w:rsidR="001B736F">
        <w:t>ažurnije vođenje evidencije provođenja SAR akcija.</w:t>
      </w:r>
    </w:p>
    <w:p w:rsidR="00C16D95" w:rsidRDefault="00C16D95" w:rsidP="00C75592"/>
    <w:p w:rsidR="00C16D95" w:rsidRDefault="00C16D95" w:rsidP="00C75592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2"/>
      </w:tblGrid>
      <w:tr w:rsidR="00C16D95" w:rsidRPr="009821BE" w:rsidTr="000A2ECC">
        <w:tc>
          <w:tcPr>
            <w:tcW w:w="7343" w:type="dxa"/>
          </w:tcPr>
          <w:p w:rsidR="00C16D95" w:rsidRPr="00BF467D" w:rsidRDefault="00C16D95" w:rsidP="00E06412">
            <w:pPr>
              <w:pStyle w:val="Odlomakpopisa"/>
              <w:ind w:left="555"/>
              <w:rPr>
                <w:b/>
                <w:u w:val="single"/>
              </w:rPr>
            </w:pPr>
            <w:r>
              <w:rPr>
                <w:b/>
              </w:rPr>
              <w:t xml:space="preserve">7. </w:t>
            </w:r>
            <w:r w:rsidRPr="00BF467D">
              <w:rPr>
                <w:b/>
                <w:u w:val="single"/>
              </w:rPr>
              <w:t xml:space="preserve">ANGAŽIRANJE SPASILAČKIH PLOVNIH JEDINICA U 2021 I 2022.GODINI: </w:t>
            </w:r>
          </w:p>
          <w:tbl>
            <w:tblPr>
              <w:tblpPr w:leftFromText="180" w:rightFromText="180" w:vertAnchor="page" w:horzAnchor="margin" w:tblpY="848"/>
              <w:tblOverlap w:val="never"/>
              <w:tblW w:w="747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59"/>
              <w:gridCol w:w="980"/>
              <w:gridCol w:w="1095"/>
              <w:gridCol w:w="1242"/>
            </w:tblGrid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center"/>
                    <w:rPr>
                      <w:sz w:val="18"/>
                      <w:szCs w:val="18"/>
                    </w:rPr>
                  </w:pPr>
                  <w:r w:rsidRPr="009821BE">
                    <w:rPr>
                      <w:b/>
                      <w:color w:val="000000"/>
                      <w:sz w:val="18"/>
                      <w:szCs w:val="18"/>
                    </w:rPr>
                    <w:t>PLOVNE JEDINICE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2021</w:t>
                  </w:r>
                  <w:r w:rsidRPr="009821BE">
                    <w:rPr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center"/>
                    <w:rPr>
                      <w:sz w:val="18"/>
                      <w:szCs w:val="18"/>
                    </w:rPr>
                  </w:pPr>
                  <w:r w:rsidRPr="009821BE">
                    <w:rPr>
                      <w:b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9821BE">
                    <w:rPr>
                      <w:b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center"/>
                    <w:rPr>
                      <w:sz w:val="18"/>
                      <w:szCs w:val="18"/>
                    </w:rPr>
                  </w:pPr>
                  <w:r w:rsidRPr="009821BE">
                    <w:rPr>
                      <w:b/>
                      <w:color w:val="000000"/>
                      <w:sz w:val="18"/>
                      <w:szCs w:val="18"/>
                    </w:rPr>
                    <w:t>INDEKS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LUČKE KAPETANIJE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477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89.31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MINISTARSTVA UNUTARNJIH POSLOVA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100.00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OBALNE STRAŽE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100.00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KOMERCIJALNI SPAŠAVATELJI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74.29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HRVATSKA GORSKA SLUŽBA SPAŠAVANJA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83.33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rPr>
                      <w:sz w:val="18"/>
                      <w:szCs w:val="18"/>
                    </w:rPr>
                  </w:pPr>
                  <w:r w:rsidRPr="009821BE">
                    <w:rPr>
                      <w:color w:val="000000"/>
                      <w:sz w:val="18"/>
                      <w:szCs w:val="18"/>
                    </w:rPr>
                    <w:t>OSTALI SUDIONICI U POMORSKOM PROME.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9821BE" w:rsidRDefault="00C16D95" w:rsidP="00C7689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101.55.</w:t>
                  </w:r>
                </w:p>
              </w:tc>
            </w:tr>
            <w:tr w:rsidR="00C16D95" w:rsidRPr="009821BE" w:rsidTr="00A55DEF">
              <w:trPr>
                <w:trHeight w:val="262"/>
              </w:trPr>
              <w:tc>
                <w:tcPr>
                  <w:tcW w:w="41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BF467D" w:rsidRDefault="00C16D95" w:rsidP="00C7689F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F467D">
                    <w:rPr>
                      <w:b/>
                      <w:color w:val="000000"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BF467D" w:rsidRDefault="00C16D95" w:rsidP="00C7689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F467D">
                    <w:rPr>
                      <w:b/>
                      <w:color w:val="000000"/>
                      <w:sz w:val="18"/>
                      <w:szCs w:val="18"/>
                    </w:rPr>
                    <w:t>827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BF467D" w:rsidRDefault="00C16D95" w:rsidP="00C7689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F467D">
                    <w:rPr>
                      <w:b/>
                      <w:color w:val="000000"/>
                      <w:sz w:val="18"/>
                      <w:szCs w:val="18"/>
                    </w:rPr>
                    <w:t>769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6D95" w:rsidRPr="00BF467D" w:rsidRDefault="00BF467D" w:rsidP="00C7689F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F467D">
                    <w:rPr>
                      <w:b/>
                      <w:color w:val="000000"/>
                      <w:sz w:val="18"/>
                      <w:szCs w:val="18"/>
                    </w:rPr>
                    <w:t>92.99</w:t>
                  </w:r>
                </w:p>
              </w:tc>
            </w:tr>
          </w:tbl>
          <w:p w:rsidR="00C16D95" w:rsidRPr="009821BE" w:rsidRDefault="00C16D95" w:rsidP="00FD4BAD">
            <w:pPr>
              <w:rPr>
                <w:b/>
              </w:rPr>
            </w:pPr>
          </w:p>
        </w:tc>
      </w:tr>
    </w:tbl>
    <w:p w:rsidR="00C16D95" w:rsidRDefault="00C16D95" w:rsidP="00C75592">
      <w:r>
        <w:br w:type="textWrapping" w:clear="all"/>
      </w:r>
    </w:p>
    <w:p w:rsidR="00BF467D" w:rsidRDefault="00BF467D" w:rsidP="00C75592"/>
    <w:p w:rsidR="00BF467D" w:rsidRPr="00BF467D" w:rsidRDefault="00BF467D" w:rsidP="00BF467D"/>
    <w:p w:rsidR="00BF467D" w:rsidRDefault="00BF467D" w:rsidP="00BF467D"/>
    <w:p w:rsidR="00BF467D" w:rsidRPr="00402D0E" w:rsidRDefault="00BF467D" w:rsidP="00BF467D">
      <w:pPr>
        <w:jc w:val="both"/>
        <w:rPr>
          <w:lang w:val="hr-HR"/>
        </w:rPr>
      </w:pPr>
      <w:r w:rsidRPr="00402D0E">
        <w:rPr>
          <w:lang w:val="hr-HR"/>
        </w:rPr>
        <w:t>Udio angažiranih spasilačkih plovnih jedinica tijekom 202</w:t>
      </w:r>
      <w:r>
        <w:rPr>
          <w:lang w:val="hr-HR"/>
        </w:rPr>
        <w:t>2</w:t>
      </w:r>
      <w:r w:rsidRPr="00402D0E">
        <w:rPr>
          <w:lang w:val="hr-HR"/>
        </w:rPr>
        <w:t>. godine gotovo je ujednačen  u odnosu</w:t>
      </w:r>
      <w:r>
        <w:rPr>
          <w:lang w:val="hr-HR"/>
        </w:rPr>
        <w:t xml:space="preserve"> na prethodnu godinu, uz razmjern</w:t>
      </w:r>
      <w:r w:rsidRPr="00402D0E">
        <w:rPr>
          <w:lang w:val="hr-HR"/>
        </w:rPr>
        <w:t xml:space="preserve">o </w:t>
      </w:r>
      <w:r>
        <w:rPr>
          <w:lang w:val="hr-HR"/>
        </w:rPr>
        <w:t>povećanje</w:t>
      </w:r>
      <w:r w:rsidRPr="00402D0E">
        <w:rPr>
          <w:lang w:val="hr-HR"/>
        </w:rPr>
        <w:t xml:space="preserve"> sudjelovanja svih dionika u akcijama traganja i spašavanja.</w:t>
      </w:r>
    </w:p>
    <w:p w:rsidR="00C16D95" w:rsidRPr="00BF467D" w:rsidRDefault="00BF467D" w:rsidP="008A6CA8">
      <w:pPr>
        <w:jc w:val="both"/>
      </w:pPr>
      <w:r w:rsidRPr="00402D0E">
        <w:rPr>
          <w:lang w:val="hr-HR"/>
        </w:rPr>
        <w:t>Više od polovice SAR akcija (5</w:t>
      </w:r>
      <w:r>
        <w:rPr>
          <w:lang w:val="hr-HR"/>
        </w:rPr>
        <w:t>5</w:t>
      </w:r>
      <w:r w:rsidRPr="00402D0E">
        <w:rPr>
          <w:lang w:val="hr-HR"/>
        </w:rPr>
        <w:t>%) izvršeno je spasilačkim plovnim jedinicama  lučkih kapetanija.</w:t>
      </w:r>
    </w:p>
    <w:tbl>
      <w:tblPr>
        <w:tblpPr w:leftFromText="180" w:rightFromText="180" w:vertAnchor="text" w:horzAnchor="margin" w:tblpY="-14"/>
        <w:tblOverlap w:val="never"/>
        <w:tblW w:w="107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0"/>
      </w:tblGrid>
      <w:tr w:rsidR="008A6CA8" w:rsidRPr="009821BE" w:rsidTr="008A6CA8">
        <w:trPr>
          <w:trHeight w:val="335"/>
        </w:trPr>
        <w:tc>
          <w:tcPr>
            <w:tcW w:w="10770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A6CA8" w:rsidRPr="00BF467D" w:rsidRDefault="008A6CA8" w:rsidP="008A6CA8">
            <w:pPr>
              <w:rPr>
                <w:b/>
                <w:color w:val="000000"/>
                <w:sz w:val="24"/>
                <w:u w:val="single"/>
              </w:rPr>
            </w:pPr>
            <w:r>
              <w:rPr>
                <w:b/>
                <w:color w:val="000000"/>
                <w:sz w:val="24"/>
              </w:rPr>
              <w:t xml:space="preserve">8. </w:t>
            </w:r>
            <w:r w:rsidRPr="00BF467D">
              <w:rPr>
                <w:b/>
                <w:color w:val="000000"/>
                <w:sz w:val="24"/>
                <w:u w:val="single"/>
              </w:rPr>
              <w:t>PREGLED KOMUNIKACIJSKIH KANALA DOJAVLJIVANJA O</w:t>
            </w:r>
          </w:p>
          <w:p w:rsidR="008A6CA8" w:rsidRPr="00BF467D" w:rsidRDefault="008A6CA8" w:rsidP="008A6CA8">
            <w:pPr>
              <w:pStyle w:val="Odlomakpopisa"/>
              <w:ind w:left="644"/>
              <w:rPr>
                <w:b/>
                <w:color w:val="000000"/>
                <w:sz w:val="24"/>
                <w:u w:val="single"/>
              </w:rPr>
            </w:pPr>
            <w:r w:rsidRPr="00BF467D">
              <w:rPr>
                <w:b/>
                <w:color w:val="000000"/>
                <w:sz w:val="24"/>
                <w:u w:val="single"/>
              </w:rPr>
              <w:t>POMORSKIM NESREĆAMA U 2021. I 2022.GODINI</w:t>
            </w:r>
          </w:p>
          <w:tbl>
            <w:tblPr>
              <w:tblpPr w:leftFromText="180" w:rightFromText="180" w:vertAnchor="text" w:horzAnchor="margin" w:tblpY="26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7299"/>
              <w:gridCol w:w="3233"/>
            </w:tblGrid>
            <w:tr w:rsidR="008A6CA8" w:rsidRPr="009821BE" w:rsidTr="00FE43B6">
              <w:trPr>
                <w:trHeight w:val="413"/>
              </w:trPr>
              <w:tc>
                <w:tcPr>
                  <w:tcW w:w="10692" w:type="dxa"/>
                  <w:gridSpan w:val="3"/>
                </w:tcPr>
                <w:p w:rsidR="008A6CA8" w:rsidRPr="009821BE" w:rsidRDefault="008A6CA8" w:rsidP="00C7689F"/>
              </w:tc>
            </w:tr>
            <w:tr w:rsidR="008A6CA8" w:rsidRPr="009821BE" w:rsidTr="00FE43B6">
              <w:trPr>
                <w:gridAfter w:val="1"/>
                <w:wAfter w:w="3233" w:type="dxa"/>
                <w:trHeight w:val="308"/>
              </w:trPr>
              <w:tc>
                <w:tcPr>
                  <w:tcW w:w="160" w:type="dxa"/>
                </w:tcPr>
                <w:p w:rsidR="008A6CA8" w:rsidRDefault="008A6CA8" w:rsidP="008A6CA8">
                  <w:pPr>
                    <w:pStyle w:val="EmptyLayoutCell"/>
                  </w:pPr>
                </w:p>
              </w:tc>
              <w:tc>
                <w:tcPr>
                  <w:tcW w:w="7299" w:type="dxa"/>
                </w:tcPr>
                <w:p w:rsidR="008A6CA8" w:rsidRDefault="008A6CA8" w:rsidP="008A6CA8">
                  <w:pPr>
                    <w:pStyle w:val="EmptyLayoutCell"/>
                  </w:pPr>
                </w:p>
              </w:tc>
            </w:tr>
            <w:tr w:rsidR="008A6CA8" w:rsidRPr="009821BE" w:rsidTr="00FE43B6">
              <w:trPr>
                <w:gridAfter w:val="1"/>
                <w:wAfter w:w="3233" w:type="dxa"/>
              </w:trPr>
              <w:tc>
                <w:tcPr>
                  <w:tcW w:w="160" w:type="dxa"/>
                </w:tcPr>
                <w:p w:rsidR="008A6CA8" w:rsidRDefault="008A6CA8" w:rsidP="00C7689F">
                  <w:pPr>
                    <w:pStyle w:val="EmptyLayoutCell"/>
                  </w:pPr>
                </w:p>
              </w:tc>
              <w:tc>
                <w:tcPr>
                  <w:tcW w:w="7299" w:type="dxa"/>
                </w:tcPr>
                <w:tbl>
                  <w:tblPr>
                    <w:tblpPr w:leftFromText="180" w:rightFromText="180" w:horzAnchor="margin" w:tblpY="-13893"/>
                    <w:tblOverlap w:val="never"/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29"/>
                    <w:gridCol w:w="1040"/>
                    <w:gridCol w:w="936"/>
                    <w:gridCol w:w="1195"/>
                  </w:tblGrid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DOJAVA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  <w:r w:rsidRPr="009821B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202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9821B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INDEKS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Nacionalnoj središnjici za traganje i spašavanje u Rijeci MRCC (195)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234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94.02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LK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LI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136.84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MUP-a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46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60.87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obalnih radijskih postaja Plovputa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Državne uprave za zaštitu i spašavanje (112)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37.25</w:t>
                        </w:r>
                      </w:p>
                    </w:tc>
                  </w:tr>
                  <w:tr w:rsidR="008A6CA8" w:rsidRPr="009821BE" w:rsidTr="00FE43B6">
                    <w:trPr>
                      <w:trHeight w:val="262"/>
                    </w:trPr>
                    <w:tc>
                      <w:tcPr>
                        <w:tcW w:w="3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rPr>
                            <w:sz w:val="18"/>
                            <w:szCs w:val="18"/>
                          </w:rPr>
                        </w:pPr>
                        <w:r w:rsidRPr="009821BE">
                          <w:rPr>
                            <w:color w:val="000000"/>
                            <w:sz w:val="18"/>
                            <w:szCs w:val="18"/>
                          </w:rPr>
                          <w:t>Posredstvom ostalih izvora dojave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A6CA8" w:rsidRPr="009821BE" w:rsidRDefault="008A6CA8" w:rsidP="00C7689F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102.04</w:t>
                        </w:r>
                      </w:p>
                    </w:tc>
                  </w:tr>
                </w:tbl>
                <w:p w:rsidR="008A6CA8" w:rsidRPr="009821BE" w:rsidRDefault="008A6CA8" w:rsidP="00C7689F"/>
              </w:tc>
            </w:tr>
          </w:tbl>
          <w:p w:rsidR="008A6CA8" w:rsidRPr="009821BE" w:rsidRDefault="008A6CA8" w:rsidP="008A6CA8"/>
        </w:tc>
      </w:tr>
    </w:tbl>
    <w:p w:rsidR="00C16D95" w:rsidRDefault="00C16D95" w:rsidP="000A2ECC"/>
    <w:p w:rsidR="00BF467D" w:rsidRDefault="00BF467D" w:rsidP="000A2ECC"/>
    <w:p w:rsidR="00900FA9" w:rsidRDefault="00900FA9" w:rsidP="003D168C">
      <w:pPr>
        <w:jc w:val="both"/>
      </w:pPr>
    </w:p>
    <w:p w:rsidR="008A6CA8" w:rsidRDefault="008A6CA8" w:rsidP="008A6CA8">
      <w:r>
        <w:t>U 2022.godini najveći broj dojava o izvanrednim događajima na moru  dostavljeno je izravno na relaciji ugroženi subjekt - ostali izvori dojave (45%), dok je 40% dojava o izvanrednim događajima MRCC Rijeka zaprimio direktno od ugroženih   subjekata.</w:t>
      </w:r>
    </w:p>
    <w:sectPr w:rsidR="008A6CA8" w:rsidSect="0087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31" w:rsidRDefault="00E43931" w:rsidP="00EE4289">
      <w:pPr>
        <w:spacing w:after="0" w:line="240" w:lineRule="auto"/>
      </w:pPr>
      <w:r>
        <w:separator/>
      </w:r>
    </w:p>
  </w:endnote>
  <w:endnote w:type="continuationSeparator" w:id="0">
    <w:p w:rsidR="00E43931" w:rsidRDefault="00E43931" w:rsidP="00EE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31" w:rsidRDefault="00E43931" w:rsidP="00EE4289">
      <w:pPr>
        <w:spacing w:after="0" w:line="240" w:lineRule="auto"/>
      </w:pPr>
      <w:r>
        <w:separator/>
      </w:r>
    </w:p>
  </w:footnote>
  <w:footnote w:type="continuationSeparator" w:id="0">
    <w:p w:rsidR="00E43931" w:rsidRDefault="00E43931" w:rsidP="00EE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9E2"/>
    <w:multiLevelType w:val="hybridMultilevel"/>
    <w:tmpl w:val="8BCEE8C2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76BCC"/>
    <w:multiLevelType w:val="hybridMultilevel"/>
    <w:tmpl w:val="CC5695F0"/>
    <w:lvl w:ilvl="0" w:tplc="B7D8629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 w15:restartNumberingAfterBreak="0">
    <w:nsid w:val="58EF13EC"/>
    <w:multiLevelType w:val="hybridMultilevel"/>
    <w:tmpl w:val="167E5F36"/>
    <w:lvl w:ilvl="0" w:tplc="FA6CC160">
      <w:start w:val="5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 w15:restartNumberingAfterBreak="0">
    <w:nsid w:val="6BED29CB"/>
    <w:multiLevelType w:val="hybridMultilevel"/>
    <w:tmpl w:val="094CF950"/>
    <w:lvl w:ilvl="0" w:tplc="3788C520">
      <w:start w:val="8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60C5"/>
    <w:multiLevelType w:val="hybridMultilevel"/>
    <w:tmpl w:val="F1DE5526"/>
    <w:lvl w:ilvl="0" w:tplc="89C84F62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96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8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40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2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4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6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8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00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B"/>
    <w:rsid w:val="00003A26"/>
    <w:rsid w:val="00014568"/>
    <w:rsid w:val="000156AE"/>
    <w:rsid w:val="00016702"/>
    <w:rsid w:val="00017455"/>
    <w:rsid w:val="00020D71"/>
    <w:rsid w:val="00024BA6"/>
    <w:rsid w:val="00033EEB"/>
    <w:rsid w:val="00035AB5"/>
    <w:rsid w:val="00040355"/>
    <w:rsid w:val="00041DE8"/>
    <w:rsid w:val="00042057"/>
    <w:rsid w:val="00042E22"/>
    <w:rsid w:val="0005164C"/>
    <w:rsid w:val="00060409"/>
    <w:rsid w:val="00072756"/>
    <w:rsid w:val="000A15D7"/>
    <w:rsid w:val="000A1962"/>
    <w:rsid w:val="000A2ECC"/>
    <w:rsid w:val="000A50F5"/>
    <w:rsid w:val="000B0A08"/>
    <w:rsid w:val="000B0B72"/>
    <w:rsid w:val="000B29B8"/>
    <w:rsid w:val="000B3632"/>
    <w:rsid w:val="000B4780"/>
    <w:rsid w:val="000B4ECD"/>
    <w:rsid w:val="000B6033"/>
    <w:rsid w:val="000C2979"/>
    <w:rsid w:val="000C5112"/>
    <w:rsid w:val="000C5D99"/>
    <w:rsid w:val="000C5F5A"/>
    <w:rsid w:val="000C78B8"/>
    <w:rsid w:val="000D1450"/>
    <w:rsid w:val="000E3907"/>
    <w:rsid w:val="000E5D4E"/>
    <w:rsid w:val="000F287C"/>
    <w:rsid w:val="00102136"/>
    <w:rsid w:val="00103511"/>
    <w:rsid w:val="001110E9"/>
    <w:rsid w:val="00117832"/>
    <w:rsid w:val="001249A7"/>
    <w:rsid w:val="00127131"/>
    <w:rsid w:val="00127FFE"/>
    <w:rsid w:val="00133380"/>
    <w:rsid w:val="0013486E"/>
    <w:rsid w:val="0013636D"/>
    <w:rsid w:val="00141346"/>
    <w:rsid w:val="00153B4A"/>
    <w:rsid w:val="001613DC"/>
    <w:rsid w:val="001640E8"/>
    <w:rsid w:val="0017794A"/>
    <w:rsid w:val="00185693"/>
    <w:rsid w:val="001A2622"/>
    <w:rsid w:val="001A6BC4"/>
    <w:rsid w:val="001B736F"/>
    <w:rsid w:val="001C1232"/>
    <w:rsid w:val="001C35E5"/>
    <w:rsid w:val="001D0A11"/>
    <w:rsid w:val="001D610B"/>
    <w:rsid w:val="001F0C76"/>
    <w:rsid w:val="001F688C"/>
    <w:rsid w:val="001F68EB"/>
    <w:rsid w:val="0020742B"/>
    <w:rsid w:val="00212681"/>
    <w:rsid w:val="00220521"/>
    <w:rsid w:val="002269B8"/>
    <w:rsid w:val="0023221F"/>
    <w:rsid w:val="00245AB8"/>
    <w:rsid w:val="00260E88"/>
    <w:rsid w:val="002617E4"/>
    <w:rsid w:val="002632C4"/>
    <w:rsid w:val="00265D6D"/>
    <w:rsid w:val="00266552"/>
    <w:rsid w:val="002707B4"/>
    <w:rsid w:val="00274A82"/>
    <w:rsid w:val="002A26A2"/>
    <w:rsid w:val="002A2CED"/>
    <w:rsid w:val="002A463E"/>
    <w:rsid w:val="002B5450"/>
    <w:rsid w:val="002C7616"/>
    <w:rsid w:val="002D2869"/>
    <w:rsid w:val="002E6390"/>
    <w:rsid w:val="002F48D2"/>
    <w:rsid w:val="002F630D"/>
    <w:rsid w:val="00307080"/>
    <w:rsid w:val="0031468E"/>
    <w:rsid w:val="00315ED9"/>
    <w:rsid w:val="00316B42"/>
    <w:rsid w:val="0032340A"/>
    <w:rsid w:val="003239AB"/>
    <w:rsid w:val="00343FFA"/>
    <w:rsid w:val="00344534"/>
    <w:rsid w:val="00344D26"/>
    <w:rsid w:val="0035122E"/>
    <w:rsid w:val="003534E4"/>
    <w:rsid w:val="00355BF4"/>
    <w:rsid w:val="00375E08"/>
    <w:rsid w:val="00376187"/>
    <w:rsid w:val="003771F7"/>
    <w:rsid w:val="00387CB2"/>
    <w:rsid w:val="00391726"/>
    <w:rsid w:val="00394B10"/>
    <w:rsid w:val="00395E7E"/>
    <w:rsid w:val="00397048"/>
    <w:rsid w:val="003A2912"/>
    <w:rsid w:val="003B0767"/>
    <w:rsid w:val="003C4868"/>
    <w:rsid w:val="003D0A99"/>
    <w:rsid w:val="003D168C"/>
    <w:rsid w:val="003D444D"/>
    <w:rsid w:val="003D5838"/>
    <w:rsid w:val="003F238E"/>
    <w:rsid w:val="003F5626"/>
    <w:rsid w:val="00401FD4"/>
    <w:rsid w:val="00407345"/>
    <w:rsid w:val="00410AA1"/>
    <w:rsid w:val="0041186C"/>
    <w:rsid w:val="00420E8A"/>
    <w:rsid w:val="004243F1"/>
    <w:rsid w:val="00425F48"/>
    <w:rsid w:val="0043379E"/>
    <w:rsid w:val="004434EA"/>
    <w:rsid w:val="004456C9"/>
    <w:rsid w:val="004458E6"/>
    <w:rsid w:val="004600FC"/>
    <w:rsid w:val="00462C75"/>
    <w:rsid w:val="004636C7"/>
    <w:rsid w:val="0047058C"/>
    <w:rsid w:val="0047512C"/>
    <w:rsid w:val="00495527"/>
    <w:rsid w:val="00496C97"/>
    <w:rsid w:val="004B1F9A"/>
    <w:rsid w:val="004C3298"/>
    <w:rsid w:val="004D2CC5"/>
    <w:rsid w:val="004D5C46"/>
    <w:rsid w:val="004E4E77"/>
    <w:rsid w:val="004E5990"/>
    <w:rsid w:val="004E7C8A"/>
    <w:rsid w:val="004F3AD7"/>
    <w:rsid w:val="004F740D"/>
    <w:rsid w:val="005052C1"/>
    <w:rsid w:val="00506B89"/>
    <w:rsid w:val="00507F35"/>
    <w:rsid w:val="00510C47"/>
    <w:rsid w:val="0052694C"/>
    <w:rsid w:val="00544FDE"/>
    <w:rsid w:val="00561B7E"/>
    <w:rsid w:val="00564C6B"/>
    <w:rsid w:val="005714DC"/>
    <w:rsid w:val="0057632F"/>
    <w:rsid w:val="0058110F"/>
    <w:rsid w:val="005919AA"/>
    <w:rsid w:val="005948F9"/>
    <w:rsid w:val="00595184"/>
    <w:rsid w:val="005A7FE4"/>
    <w:rsid w:val="005B1C06"/>
    <w:rsid w:val="005B5AA0"/>
    <w:rsid w:val="005D78AB"/>
    <w:rsid w:val="005E187B"/>
    <w:rsid w:val="005E26E6"/>
    <w:rsid w:val="005E4E24"/>
    <w:rsid w:val="005E6904"/>
    <w:rsid w:val="005F2ECB"/>
    <w:rsid w:val="005F6BD6"/>
    <w:rsid w:val="005F715B"/>
    <w:rsid w:val="006008E9"/>
    <w:rsid w:val="0060437F"/>
    <w:rsid w:val="006050AF"/>
    <w:rsid w:val="00611C29"/>
    <w:rsid w:val="00616C29"/>
    <w:rsid w:val="00617CB0"/>
    <w:rsid w:val="00626084"/>
    <w:rsid w:val="00626377"/>
    <w:rsid w:val="0063236C"/>
    <w:rsid w:val="00632994"/>
    <w:rsid w:val="00633D91"/>
    <w:rsid w:val="00642E6F"/>
    <w:rsid w:val="0065546F"/>
    <w:rsid w:val="006576C3"/>
    <w:rsid w:val="006647AF"/>
    <w:rsid w:val="00680BE9"/>
    <w:rsid w:val="00684080"/>
    <w:rsid w:val="00685D41"/>
    <w:rsid w:val="00694A82"/>
    <w:rsid w:val="006A1067"/>
    <w:rsid w:val="006B21A3"/>
    <w:rsid w:val="006D07EF"/>
    <w:rsid w:val="006D43D4"/>
    <w:rsid w:val="006D554D"/>
    <w:rsid w:val="006F34F4"/>
    <w:rsid w:val="0070737C"/>
    <w:rsid w:val="0071010E"/>
    <w:rsid w:val="007218F3"/>
    <w:rsid w:val="00724B3D"/>
    <w:rsid w:val="00726BD8"/>
    <w:rsid w:val="007404D4"/>
    <w:rsid w:val="00741B00"/>
    <w:rsid w:val="0074313D"/>
    <w:rsid w:val="007452D7"/>
    <w:rsid w:val="00745ACE"/>
    <w:rsid w:val="007668B8"/>
    <w:rsid w:val="00767D4A"/>
    <w:rsid w:val="00770BD6"/>
    <w:rsid w:val="00770F82"/>
    <w:rsid w:val="00777FD0"/>
    <w:rsid w:val="007870B3"/>
    <w:rsid w:val="00797E48"/>
    <w:rsid w:val="007A70B2"/>
    <w:rsid w:val="007A7A65"/>
    <w:rsid w:val="007B4D23"/>
    <w:rsid w:val="007C67D3"/>
    <w:rsid w:val="007D3145"/>
    <w:rsid w:val="007E482F"/>
    <w:rsid w:val="0080371E"/>
    <w:rsid w:val="008101A3"/>
    <w:rsid w:val="00812EF3"/>
    <w:rsid w:val="00813123"/>
    <w:rsid w:val="008136B1"/>
    <w:rsid w:val="00816D29"/>
    <w:rsid w:val="00817558"/>
    <w:rsid w:val="0082135E"/>
    <w:rsid w:val="0082558B"/>
    <w:rsid w:val="00825590"/>
    <w:rsid w:val="00825623"/>
    <w:rsid w:val="00831CF8"/>
    <w:rsid w:val="00833B4E"/>
    <w:rsid w:val="00836941"/>
    <w:rsid w:val="00843A8F"/>
    <w:rsid w:val="008452CA"/>
    <w:rsid w:val="00851730"/>
    <w:rsid w:val="008522B4"/>
    <w:rsid w:val="00854D6B"/>
    <w:rsid w:val="00871E86"/>
    <w:rsid w:val="00877FE6"/>
    <w:rsid w:val="008A2EDF"/>
    <w:rsid w:val="008A54AF"/>
    <w:rsid w:val="008A6CA8"/>
    <w:rsid w:val="008C18E3"/>
    <w:rsid w:val="008C2635"/>
    <w:rsid w:val="008C6A1D"/>
    <w:rsid w:val="008E0F13"/>
    <w:rsid w:val="008F22AC"/>
    <w:rsid w:val="008F3999"/>
    <w:rsid w:val="008F463F"/>
    <w:rsid w:val="00900FA9"/>
    <w:rsid w:val="009032DC"/>
    <w:rsid w:val="0092395A"/>
    <w:rsid w:val="00930A99"/>
    <w:rsid w:val="00931EC6"/>
    <w:rsid w:val="00945075"/>
    <w:rsid w:val="00954CAA"/>
    <w:rsid w:val="00977037"/>
    <w:rsid w:val="009821BE"/>
    <w:rsid w:val="009915CD"/>
    <w:rsid w:val="00996017"/>
    <w:rsid w:val="009A600F"/>
    <w:rsid w:val="009B5DB2"/>
    <w:rsid w:val="009C2682"/>
    <w:rsid w:val="009D126F"/>
    <w:rsid w:val="009D7BA9"/>
    <w:rsid w:val="009E19C0"/>
    <w:rsid w:val="009E2A85"/>
    <w:rsid w:val="009F2B31"/>
    <w:rsid w:val="009F3DB9"/>
    <w:rsid w:val="009F7AEE"/>
    <w:rsid w:val="00A03981"/>
    <w:rsid w:val="00A04979"/>
    <w:rsid w:val="00A05EE8"/>
    <w:rsid w:val="00A10C37"/>
    <w:rsid w:val="00A15B7F"/>
    <w:rsid w:val="00A17031"/>
    <w:rsid w:val="00A42846"/>
    <w:rsid w:val="00A459A1"/>
    <w:rsid w:val="00A478C7"/>
    <w:rsid w:val="00A515E6"/>
    <w:rsid w:val="00A55DEF"/>
    <w:rsid w:val="00A56E4C"/>
    <w:rsid w:val="00A649D1"/>
    <w:rsid w:val="00A711A8"/>
    <w:rsid w:val="00A77356"/>
    <w:rsid w:val="00A80528"/>
    <w:rsid w:val="00A85CC5"/>
    <w:rsid w:val="00A85E51"/>
    <w:rsid w:val="00A93D1C"/>
    <w:rsid w:val="00AB3CDC"/>
    <w:rsid w:val="00AB67B8"/>
    <w:rsid w:val="00AC313D"/>
    <w:rsid w:val="00AC5D34"/>
    <w:rsid w:val="00AD7CB0"/>
    <w:rsid w:val="00AE4565"/>
    <w:rsid w:val="00AE7345"/>
    <w:rsid w:val="00AE754A"/>
    <w:rsid w:val="00AF0E68"/>
    <w:rsid w:val="00AF4F76"/>
    <w:rsid w:val="00B05983"/>
    <w:rsid w:val="00B065F7"/>
    <w:rsid w:val="00B1237E"/>
    <w:rsid w:val="00B17883"/>
    <w:rsid w:val="00B207B7"/>
    <w:rsid w:val="00B2314F"/>
    <w:rsid w:val="00B259D5"/>
    <w:rsid w:val="00B2600F"/>
    <w:rsid w:val="00B36FF3"/>
    <w:rsid w:val="00B37C7C"/>
    <w:rsid w:val="00B45CBF"/>
    <w:rsid w:val="00B510D7"/>
    <w:rsid w:val="00B51636"/>
    <w:rsid w:val="00B54BC3"/>
    <w:rsid w:val="00B54E22"/>
    <w:rsid w:val="00B658A7"/>
    <w:rsid w:val="00B65B4C"/>
    <w:rsid w:val="00B66328"/>
    <w:rsid w:val="00B75CA9"/>
    <w:rsid w:val="00B7665D"/>
    <w:rsid w:val="00B82B45"/>
    <w:rsid w:val="00B87535"/>
    <w:rsid w:val="00B90767"/>
    <w:rsid w:val="00B90D5D"/>
    <w:rsid w:val="00B94319"/>
    <w:rsid w:val="00BA7331"/>
    <w:rsid w:val="00BB6683"/>
    <w:rsid w:val="00BB6C6E"/>
    <w:rsid w:val="00BB7103"/>
    <w:rsid w:val="00BC5340"/>
    <w:rsid w:val="00BD6268"/>
    <w:rsid w:val="00BE1B82"/>
    <w:rsid w:val="00BF35FB"/>
    <w:rsid w:val="00BF467D"/>
    <w:rsid w:val="00C03EB6"/>
    <w:rsid w:val="00C05D5E"/>
    <w:rsid w:val="00C14045"/>
    <w:rsid w:val="00C16D95"/>
    <w:rsid w:val="00C23209"/>
    <w:rsid w:val="00C2363E"/>
    <w:rsid w:val="00C33046"/>
    <w:rsid w:val="00C33E11"/>
    <w:rsid w:val="00C3400B"/>
    <w:rsid w:val="00C445B4"/>
    <w:rsid w:val="00C44775"/>
    <w:rsid w:val="00C52EE8"/>
    <w:rsid w:val="00C610A7"/>
    <w:rsid w:val="00C75592"/>
    <w:rsid w:val="00C7689F"/>
    <w:rsid w:val="00C84DF7"/>
    <w:rsid w:val="00C85D46"/>
    <w:rsid w:val="00CA26C1"/>
    <w:rsid w:val="00CB2612"/>
    <w:rsid w:val="00CB3BF2"/>
    <w:rsid w:val="00CC39DF"/>
    <w:rsid w:val="00CC414C"/>
    <w:rsid w:val="00CC4BE2"/>
    <w:rsid w:val="00CD191E"/>
    <w:rsid w:val="00CE273D"/>
    <w:rsid w:val="00CF0922"/>
    <w:rsid w:val="00D06195"/>
    <w:rsid w:val="00D17B8B"/>
    <w:rsid w:val="00D22C14"/>
    <w:rsid w:val="00D23E73"/>
    <w:rsid w:val="00D27C6D"/>
    <w:rsid w:val="00D30D49"/>
    <w:rsid w:val="00D33D44"/>
    <w:rsid w:val="00D42260"/>
    <w:rsid w:val="00D42F79"/>
    <w:rsid w:val="00D562A1"/>
    <w:rsid w:val="00D5638F"/>
    <w:rsid w:val="00D652C1"/>
    <w:rsid w:val="00DB1599"/>
    <w:rsid w:val="00DB48B7"/>
    <w:rsid w:val="00DB49E6"/>
    <w:rsid w:val="00DB4E34"/>
    <w:rsid w:val="00DB5ED5"/>
    <w:rsid w:val="00DB7747"/>
    <w:rsid w:val="00DC3461"/>
    <w:rsid w:val="00DD54A2"/>
    <w:rsid w:val="00DD5B2F"/>
    <w:rsid w:val="00DD5C80"/>
    <w:rsid w:val="00DE0FDB"/>
    <w:rsid w:val="00DF6410"/>
    <w:rsid w:val="00E06412"/>
    <w:rsid w:val="00E12A82"/>
    <w:rsid w:val="00E20209"/>
    <w:rsid w:val="00E2178F"/>
    <w:rsid w:val="00E320DE"/>
    <w:rsid w:val="00E33FC8"/>
    <w:rsid w:val="00E3434B"/>
    <w:rsid w:val="00E410BD"/>
    <w:rsid w:val="00E43931"/>
    <w:rsid w:val="00E4789C"/>
    <w:rsid w:val="00E530A8"/>
    <w:rsid w:val="00E61271"/>
    <w:rsid w:val="00E63483"/>
    <w:rsid w:val="00E700DA"/>
    <w:rsid w:val="00E73905"/>
    <w:rsid w:val="00E74C54"/>
    <w:rsid w:val="00E81FEF"/>
    <w:rsid w:val="00E85F48"/>
    <w:rsid w:val="00E97ED6"/>
    <w:rsid w:val="00EC0463"/>
    <w:rsid w:val="00EC6DD3"/>
    <w:rsid w:val="00ED7C83"/>
    <w:rsid w:val="00EE4289"/>
    <w:rsid w:val="00EE799C"/>
    <w:rsid w:val="00EF018A"/>
    <w:rsid w:val="00F054F8"/>
    <w:rsid w:val="00F07D05"/>
    <w:rsid w:val="00F07D2B"/>
    <w:rsid w:val="00F1180F"/>
    <w:rsid w:val="00F11983"/>
    <w:rsid w:val="00F14393"/>
    <w:rsid w:val="00F14BC1"/>
    <w:rsid w:val="00F256E6"/>
    <w:rsid w:val="00F34DA2"/>
    <w:rsid w:val="00F40A13"/>
    <w:rsid w:val="00F420F4"/>
    <w:rsid w:val="00F61876"/>
    <w:rsid w:val="00F64325"/>
    <w:rsid w:val="00F67F7B"/>
    <w:rsid w:val="00F70E95"/>
    <w:rsid w:val="00F71B88"/>
    <w:rsid w:val="00F7428B"/>
    <w:rsid w:val="00F776FC"/>
    <w:rsid w:val="00F80ED7"/>
    <w:rsid w:val="00F8213D"/>
    <w:rsid w:val="00F8562B"/>
    <w:rsid w:val="00F97BFF"/>
    <w:rsid w:val="00FA1AB3"/>
    <w:rsid w:val="00FA4F82"/>
    <w:rsid w:val="00FA5B77"/>
    <w:rsid w:val="00FA7CEB"/>
    <w:rsid w:val="00FB6816"/>
    <w:rsid w:val="00FC2002"/>
    <w:rsid w:val="00FC6F52"/>
    <w:rsid w:val="00FC7DC7"/>
    <w:rsid w:val="00FD08A3"/>
    <w:rsid w:val="00FD4BAD"/>
    <w:rsid w:val="00FD5BB2"/>
    <w:rsid w:val="00FE43B6"/>
    <w:rsid w:val="00FE70B3"/>
    <w:rsid w:val="00FF01D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673788C"/>
  <w15:docId w15:val="{18F49C28-9392-4ABC-9BEF-6F19CD1C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AA"/>
    <w:pPr>
      <w:spacing w:after="160" w:line="259" w:lineRule="auto"/>
    </w:pPr>
    <w:rPr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54CAA"/>
    <w:pPr>
      <w:keepNext/>
      <w:keepLines/>
      <w:spacing w:before="400" w:after="40" w:line="240" w:lineRule="auto"/>
      <w:outlineLvl w:val="0"/>
    </w:pPr>
    <w:rPr>
      <w:color w:val="1F4E79"/>
      <w:sz w:val="36"/>
      <w:szCs w:val="20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54CAA"/>
    <w:pPr>
      <w:keepNext/>
      <w:keepLines/>
      <w:spacing w:before="40" w:after="0" w:line="240" w:lineRule="auto"/>
      <w:outlineLvl w:val="1"/>
    </w:pPr>
    <w:rPr>
      <w:color w:val="2E74B5"/>
      <w:sz w:val="32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954CAA"/>
    <w:pPr>
      <w:keepNext/>
      <w:keepLines/>
      <w:spacing w:before="40" w:after="0" w:line="240" w:lineRule="auto"/>
      <w:outlineLvl w:val="2"/>
    </w:pPr>
    <w:rPr>
      <w:color w:val="2E74B5"/>
      <w:sz w:val="2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954CAA"/>
    <w:pPr>
      <w:keepNext/>
      <w:keepLines/>
      <w:spacing w:before="40" w:after="0"/>
      <w:outlineLvl w:val="3"/>
    </w:pPr>
    <w:rPr>
      <w:color w:val="2E74B5"/>
      <w:sz w:val="24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954CAA"/>
    <w:pPr>
      <w:keepNext/>
      <w:keepLines/>
      <w:spacing w:before="40" w:after="0"/>
      <w:outlineLvl w:val="4"/>
    </w:pPr>
    <w:rPr>
      <w:caps/>
      <w:color w:val="2E74B5"/>
      <w:sz w:val="20"/>
      <w:szCs w:val="20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954CAA"/>
    <w:pPr>
      <w:keepNext/>
      <w:keepLines/>
      <w:spacing w:before="40" w:after="0"/>
      <w:outlineLvl w:val="5"/>
    </w:pPr>
    <w:rPr>
      <w:i/>
      <w:caps/>
      <w:color w:val="1F4E79"/>
      <w:sz w:val="20"/>
      <w:szCs w:val="20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954CAA"/>
    <w:pPr>
      <w:keepNext/>
      <w:keepLines/>
      <w:spacing w:before="40" w:after="0"/>
      <w:outlineLvl w:val="6"/>
    </w:pPr>
    <w:rPr>
      <w:b/>
      <w:color w:val="1F4E79"/>
      <w:sz w:val="20"/>
      <w:szCs w:val="20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954CAA"/>
    <w:pPr>
      <w:keepNext/>
      <w:keepLines/>
      <w:spacing w:before="40" w:after="0"/>
      <w:outlineLvl w:val="7"/>
    </w:pPr>
    <w:rPr>
      <w:b/>
      <w:i/>
      <w:color w:val="1F4E79"/>
      <w:sz w:val="20"/>
      <w:szCs w:val="20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954CAA"/>
    <w:pPr>
      <w:keepNext/>
      <w:keepLines/>
      <w:spacing w:before="40" w:after="0"/>
      <w:outlineLvl w:val="8"/>
    </w:pPr>
    <w:rPr>
      <w:i/>
      <w:color w:val="1F4E79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54CAA"/>
    <w:rPr>
      <w:rFonts w:ascii="Arial" w:hAnsi="Arial" w:cs="Times New Roman"/>
      <w:color w:val="1F4E79"/>
      <w:sz w:val="36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954CAA"/>
    <w:rPr>
      <w:rFonts w:ascii="Arial" w:hAnsi="Arial" w:cs="Times New Roman"/>
      <w:color w:val="2E74B5"/>
      <w:sz w:val="32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954CAA"/>
    <w:rPr>
      <w:rFonts w:ascii="Arial" w:hAnsi="Arial" w:cs="Times New Roman"/>
      <w:color w:val="2E74B5"/>
      <w:sz w:val="28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954CAA"/>
    <w:rPr>
      <w:rFonts w:ascii="Arial" w:hAnsi="Arial" w:cs="Times New Roman"/>
      <w:color w:val="2E74B5"/>
      <w:sz w:val="24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54CAA"/>
    <w:rPr>
      <w:rFonts w:ascii="Arial" w:hAnsi="Arial" w:cs="Times New Roman"/>
      <w:caps/>
      <w:color w:val="2E74B5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954CAA"/>
    <w:rPr>
      <w:rFonts w:ascii="Arial" w:hAnsi="Arial" w:cs="Times New Roman"/>
      <w:i/>
      <w:caps/>
      <w:color w:val="1F4E79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954CAA"/>
    <w:rPr>
      <w:rFonts w:ascii="Arial" w:hAnsi="Arial" w:cs="Times New Roman"/>
      <w:b/>
      <w:color w:val="1F4E79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954CAA"/>
    <w:rPr>
      <w:rFonts w:ascii="Arial" w:hAnsi="Arial" w:cs="Times New Roman"/>
      <w:b/>
      <w:i/>
      <w:color w:val="1F4E79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954CAA"/>
    <w:rPr>
      <w:rFonts w:ascii="Arial" w:hAnsi="Arial" w:cs="Times New Roman"/>
      <w:i/>
      <w:color w:val="1F4E79"/>
    </w:rPr>
  </w:style>
  <w:style w:type="paragraph" w:styleId="Opisslike">
    <w:name w:val="caption"/>
    <w:basedOn w:val="Normal"/>
    <w:next w:val="Normal"/>
    <w:uiPriority w:val="99"/>
    <w:qFormat/>
    <w:rsid w:val="00954CAA"/>
    <w:pPr>
      <w:spacing w:line="240" w:lineRule="auto"/>
    </w:pPr>
    <w:rPr>
      <w:b/>
      <w:bCs/>
      <w:smallCaps/>
      <w:color w:val="44546A"/>
    </w:rPr>
  </w:style>
  <w:style w:type="paragraph" w:styleId="Naslov">
    <w:name w:val="Title"/>
    <w:basedOn w:val="Normal"/>
    <w:next w:val="Normal"/>
    <w:link w:val="NaslovChar"/>
    <w:uiPriority w:val="99"/>
    <w:qFormat/>
    <w:rsid w:val="00954CAA"/>
    <w:pPr>
      <w:spacing w:after="0" w:line="204" w:lineRule="auto"/>
      <w:contextualSpacing/>
    </w:pPr>
    <w:rPr>
      <w:caps/>
      <w:color w:val="44546A"/>
      <w:spacing w:val="-15"/>
      <w:sz w:val="72"/>
      <w:szCs w:val="20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954CAA"/>
    <w:rPr>
      <w:rFonts w:ascii="Arial" w:hAnsi="Arial" w:cs="Times New Roman"/>
      <w:caps/>
      <w:color w:val="44546A"/>
      <w:spacing w:val="-15"/>
      <w:sz w:val="7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954CAA"/>
    <w:pPr>
      <w:numPr>
        <w:ilvl w:val="1"/>
      </w:numPr>
      <w:spacing w:after="240" w:line="240" w:lineRule="auto"/>
    </w:pPr>
    <w:rPr>
      <w:color w:val="5B9BD5"/>
      <w:sz w:val="28"/>
      <w:szCs w:val="20"/>
      <w:lang w:val="hr-HR" w:eastAsia="hr-HR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954CAA"/>
    <w:rPr>
      <w:rFonts w:ascii="Arial" w:hAnsi="Arial" w:cs="Times New Roman"/>
      <w:color w:val="5B9BD5"/>
      <w:sz w:val="28"/>
    </w:rPr>
  </w:style>
  <w:style w:type="character" w:styleId="Naglaeno">
    <w:name w:val="Strong"/>
    <w:basedOn w:val="Zadanifontodlomka"/>
    <w:uiPriority w:val="99"/>
    <w:qFormat/>
    <w:rsid w:val="00954CA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954CAA"/>
    <w:rPr>
      <w:rFonts w:cs="Times New Roman"/>
      <w:i/>
    </w:rPr>
  </w:style>
  <w:style w:type="paragraph" w:styleId="Bezproreda">
    <w:name w:val="No Spacing"/>
    <w:uiPriority w:val="99"/>
    <w:qFormat/>
    <w:rsid w:val="00954CAA"/>
    <w:rPr>
      <w:lang w:val="en-GB" w:eastAsia="en-US"/>
    </w:rPr>
  </w:style>
  <w:style w:type="paragraph" w:styleId="Citat">
    <w:name w:val="Quote"/>
    <w:basedOn w:val="Normal"/>
    <w:next w:val="Normal"/>
    <w:link w:val="CitatChar"/>
    <w:uiPriority w:val="99"/>
    <w:qFormat/>
    <w:rsid w:val="00954CAA"/>
    <w:pPr>
      <w:spacing w:before="120" w:after="120"/>
      <w:ind w:left="720"/>
    </w:pPr>
    <w:rPr>
      <w:color w:val="44546A"/>
      <w:sz w:val="24"/>
      <w:szCs w:val="20"/>
      <w:lang w:val="hr-HR" w:eastAsia="hr-HR"/>
    </w:rPr>
  </w:style>
  <w:style w:type="character" w:customStyle="1" w:styleId="CitatChar">
    <w:name w:val="Citat Char"/>
    <w:basedOn w:val="Zadanifontodlomka"/>
    <w:link w:val="Citat"/>
    <w:uiPriority w:val="99"/>
    <w:locked/>
    <w:rsid w:val="00954CAA"/>
    <w:rPr>
      <w:rFonts w:cs="Times New Roman"/>
      <w:color w:val="44546A"/>
      <w:sz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954CAA"/>
    <w:pPr>
      <w:spacing w:before="100" w:beforeAutospacing="1" w:after="240" w:line="240" w:lineRule="auto"/>
      <w:ind w:left="720"/>
      <w:jc w:val="center"/>
    </w:pPr>
    <w:rPr>
      <w:color w:val="44546A"/>
      <w:spacing w:val="-6"/>
      <w:sz w:val="32"/>
      <w:szCs w:val="20"/>
      <w:lang w:val="hr-HR" w:eastAsia="hr-HR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954CAA"/>
    <w:rPr>
      <w:rFonts w:ascii="Arial" w:hAnsi="Arial" w:cs="Times New Roman"/>
      <w:color w:val="44546A"/>
      <w:spacing w:val="-6"/>
      <w:sz w:val="32"/>
    </w:rPr>
  </w:style>
  <w:style w:type="character" w:styleId="Neupadljivoisticanje">
    <w:name w:val="Subtle Emphasis"/>
    <w:basedOn w:val="Zadanifontodlomka"/>
    <w:uiPriority w:val="99"/>
    <w:qFormat/>
    <w:rsid w:val="00954CAA"/>
    <w:rPr>
      <w:rFonts w:cs="Times New Roman"/>
      <w:i/>
      <w:color w:val="595959"/>
    </w:rPr>
  </w:style>
  <w:style w:type="character" w:styleId="Jakoisticanje">
    <w:name w:val="Intense Emphasis"/>
    <w:basedOn w:val="Zadanifontodlomka"/>
    <w:uiPriority w:val="99"/>
    <w:qFormat/>
    <w:rsid w:val="00954CAA"/>
    <w:rPr>
      <w:rFonts w:cs="Times New Roman"/>
      <w:b/>
      <w:i/>
    </w:rPr>
  </w:style>
  <w:style w:type="character" w:styleId="Neupadljivareferenca">
    <w:name w:val="Subtle Reference"/>
    <w:basedOn w:val="Zadanifontodlomka"/>
    <w:uiPriority w:val="99"/>
    <w:qFormat/>
    <w:rsid w:val="00954CAA"/>
    <w:rPr>
      <w:rFonts w:cs="Times New Roman"/>
      <w:smallCaps/>
      <w:color w:val="595959"/>
      <w:u w:val="none" w:color="7F7F7F"/>
    </w:rPr>
  </w:style>
  <w:style w:type="character" w:styleId="Istaknutareferenca">
    <w:name w:val="Intense Reference"/>
    <w:basedOn w:val="Zadanifontodlomka"/>
    <w:uiPriority w:val="99"/>
    <w:qFormat/>
    <w:rsid w:val="00954CAA"/>
    <w:rPr>
      <w:rFonts w:cs="Times New Roman"/>
      <w:b/>
      <w:smallCaps/>
      <w:color w:val="44546A"/>
      <w:u w:val="single"/>
    </w:rPr>
  </w:style>
  <w:style w:type="character" w:styleId="Naslovknjige">
    <w:name w:val="Book Title"/>
    <w:basedOn w:val="Zadanifontodlomka"/>
    <w:uiPriority w:val="99"/>
    <w:qFormat/>
    <w:rsid w:val="00954CAA"/>
    <w:rPr>
      <w:rFonts w:cs="Times New Roman"/>
      <w:b/>
      <w:smallCaps/>
      <w:spacing w:val="10"/>
    </w:rPr>
  </w:style>
  <w:style w:type="paragraph" w:styleId="TOCNaslov">
    <w:name w:val="TOC Heading"/>
    <w:basedOn w:val="Naslov1"/>
    <w:next w:val="Normal"/>
    <w:uiPriority w:val="99"/>
    <w:qFormat/>
    <w:rsid w:val="00954CAA"/>
    <w:pPr>
      <w:outlineLvl w:val="9"/>
    </w:pPr>
  </w:style>
  <w:style w:type="table" w:styleId="Reetkatablice">
    <w:name w:val="Table Grid"/>
    <w:basedOn w:val="Obinatablica"/>
    <w:uiPriority w:val="99"/>
    <w:rsid w:val="00A80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E4289"/>
    <w:pPr>
      <w:spacing w:after="0" w:line="240" w:lineRule="auto"/>
    </w:pPr>
    <w:rPr>
      <w:rFonts w:ascii="Segoe UI" w:hAnsi="Segoe UI"/>
      <w:sz w:val="18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E4289"/>
    <w:rPr>
      <w:rFonts w:ascii="Segoe UI" w:hAnsi="Segoe UI" w:cs="Times New Roman"/>
      <w:sz w:val="18"/>
    </w:rPr>
  </w:style>
  <w:style w:type="paragraph" w:styleId="Zaglavlje">
    <w:name w:val="header"/>
    <w:basedOn w:val="Normal"/>
    <w:link w:val="ZaglavljeChar"/>
    <w:uiPriority w:val="99"/>
    <w:rsid w:val="00EE428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EE428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E4289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EE4289"/>
    <w:rPr>
      <w:rFonts w:cs="Times New Roman"/>
    </w:rPr>
  </w:style>
  <w:style w:type="paragraph" w:styleId="Odlomakpopisa">
    <w:name w:val="List Paragraph"/>
    <w:basedOn w:val="Normal"/>
    <w:uiPriority w:val="99"/>
    <w:qFormat/>
    <w:rsid w:val="00AE4565"/>
    <w:pPr>
      <w:ind w:left="720"/>
      <w:contextualSpacing/>
    </w:pPr>
  </w:style>
  <w:style w:type="paragraph" w:customStyle="1" w:styleId="EmptyLayoutCell">
    <w:name w:val="EmptyLayoutCell"/>
    <w:basedOn w:val="Normal"/>
    <w:uiPriority w:val="99"/>
    <w:rsid w:val="00394B10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1613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locked/>
    <w:rsid w:val="001613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3DC"/>
    <w:rPr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1613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3DC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Sheet1!$A$2:$A$14</c:f>
              <c:strCache>
                <c:ptCount val="1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  <c:pt idx="12">
                  <c:v>ukupno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20</c:v>
                </c:pt>
                <c:pt idx="1">
                  <c:v>27</c:v>
                </c:pt>
                <c:pt idx="2">
                  <c:v>32</c:v>
                </c:pt>
                <c:pt idx="3">
                  <c:v>28</c:v>
                </c:pt>
                <c:pt idx="4">
                  <c:v>41</c:v>
                </c:pt>
                <c:pt idx="5">
                  <c:v>56</c:v>
                </c:pt>
                <c:pt idx="6">
                  <c:v>106</c:v>
                </c:pt>
                <c:pt idx="7">
                  <c:v>161</c:v>
                </c:pt>
                <c:pt idx="8">
                  <c:v>55</c:v>
                </c:pt>
                <c:pt idx="9">
                  <c:v>38</c:v>
                </c:pt>
                <c:pt idx="10">
                  <c:v>18</c:v>
                </c:pt>
                <c:pt idx="11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14-4A76-B89F-260E5900E93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Sheet1!$A$2:$A$14</c:f>
              <c:strCache>
                <c:ptCount val="1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  <c:pt idx="12">
                  <c:v>ukupno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23</c:v>
                </c:pt>
                <c:pt idx="1">
                  <c:v>12</c:v>
                </c:pt>
                <c:pt idx="2">
                  <c:v>20</c:v>
                </c:pt>
                <c:pt idx="3">
                  <c:v>22</c:v>
                </c:pt>
                <c:pt idx="4">
                  <c:v>40</c:v>
                </c:pt>
                <c:pt idx="5">
                  <c:v>56</c:v>
                </c:pt>
                <c:pt idx="6">
                  <c:v>112</c:v>
                </c:pt>
                <c:pt idx="7">
                  <c:v>115</c:v>
                </c:pt>
                <c:pt idx="8">
                  <c:v>72</c:v>
                </c:pt>
                <c:pt idx="9">
                  <c:v>26</c:v>
                </c:pt>
                <c:pt idx="10">
                  <c:v>29</c:v>
                </c:pt>
                <c:pt idx="11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14-4A76-B89F-260E5900E93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Sheet1!$A$2:$A$14</c:f>
              <c:strCache>
                <c:ptCount val="13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  <c:pt idx="9">
                  <c:v>listopad</c:v>
                </c:pt>
                <c:pt idx="10">
                  <c:v>studeni</c:v>
                </c:pt>
                <c:pt idx="11">
                  <c:v>prosinac</c:v>
                </c:pt>
                <c:pt idx="12">
                  <c:v>ukupno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14-4A76-B89F-260E5900E9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1263568"/>
        <c:axId val="1"/>
      </c:lineChart>
      <c:catAx>
        <c:axId val="185126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5126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207650273224046E-2"/>
          <c:y val="3.4934497816593885E-2"/>
          <c:w val="0.81830601092896171"/>
          <c:h val="0.77292576419213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PULA</c:v>
                </c:pt>
                <c:pt idx="1">
                  <c:v>RIJEKA</c:v>
                </c:pt>
                <c:pt idx="2">
                  <c:v>SENJ</c:v>
                </c:pt>
                <c:pt idx="3">
                  <c:v>ZADAR</c:v>
                </c:pt>
                <c:pt idx="4">
                  <c:v>ŠIBENIK</c:v>
                </c:pt>
                <c:pt idx="5">
                  <c:v>SPLIT</c:v>
                </c:pt>
                <c:pt idx="6">
                  <c:v>PLOČE</c:v>
                </c:pt>
                <c:pt idx="7">
                  <c:v>DUBROVNIK</c:v>
                </c:pt>
                <c:pt idx="8">
                  <c:v>ZERP I IZVAN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32</c:v>
                </c:pt>
                <c:pt idx="1">
                  <c:v>69</c:v>
                </c:pt>
                <c:pt idx="2">
                  <c:v>8</c:v>
                </c:pt>
                <c:pt idx="3">
                  <c:v>196</c:v>
                </c:pt>
                <c:pt idx="4">
                  <c:v>123</c:v>
                </c:pt>
                <c:pt idx="5">
                  <c:v>121</c:v>
                </c:pt>
                <c:pt idx="6">
                  <c:v>6</c:v>
                </c:pt>
                <c:pt idx="7">
                  <c:v>52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A-4A02-B78C-005B7B5D575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PULA</c:v>
                </c:pt>
                <c:pt idx="1">
                  <c:v>RIJEKA</c:v>
                </c:pt>
                <c:pt idx="2">
                  <c:v>SENJ</c:v>
                </c:pt>
                <c:pt idx="3">
                  <c:v>ZADAR</c:v>
                </c:pt>
                <c:pt idx="4">
                  <c:v>ŠIBENIK</c:v>
                </c:pt>
                <c:pt idx="5">
                  <c:v>SPLIT</c:v>
                </c:pt>
                <c:pt idx="6">
                  <c:v>PLOČE</c:v>
                </c:pt>
                <c:pt idx="7">
                  <c:v>DUBROVNIK</c:v>
                </c:pt>
                <c:pt idx="8">
                  <c:v>ZERP I IZVAN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21</c:v>
                </c:pt>
                <c:pt idx="1">
                  <c:v>55</c:v>
                </c:pt>
                <c:pt idx="2">
                  <c:v>23</c:v>
                </c:pt>
                <c:pt idx="3">
                  <c:v>234</c:v>
                </c:pt>
                <c:pt idx="4">
                  <c:v>90</c:v>
                </c:pt>
                <c:pt idx="5">
                  <c:v>65</c:v>
                </c:pt>
                <c:pt idx="6">
                  <c:v>3</c:v>
                </c:pt>
                <c:pt idx="7">
                  <c:v>55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8A-4A02-B78C-005B7B5D575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Sheet1!$A$2:$A$10</c:f>
              <c:strCache>
                <c:ptCount val="9"/>
                <c:pt idx="0">
                  <c:v>PULA</c:v>
                </c:pt>
                <c:pt idx="1">
                  <c:v>RIJEKA</c:v>
                </c:pt>
                <c:pt idx="2">
                  <c:v>SENJ</c:v>
                </c:pt>
                <c:pt idx="3">
                  <c:v>ZADAR</c:v>
                </c:pt>
                <c:pt idx="4">
                  <c:v>ŠIBENIK</c:v>
                </c:pt>
                <c:pt idx="5">
                  <c:v>SPLIT</c:v>
                </c:pt>
                <c:pt idx="6">
                  <c:v>PLOČE</c:v>
                </c:pt>
                <c:pt idx="7">
                  <c:v>DUBROVNIK</c:v>
                </c:pt>
                <c:pt idx="8">
                  <c:v>ZERP I IZVAN</c:v>
                </c:pt>
              </c:strCache>
            </c:strRef>
          </c:cat>
          <c:val>
            <c:numRef>
              <c:f>Sheet1!$D$2:$D$10</c:f>
            </c:numRef>
          </c:val>
          <c:extLst>
            <c:ext xmlns:c16="http://schemas.microsoft.com/office/drawing/2014/chart" uri="{C3380CC4-5D6E-409C-BE32-E72D297353CC}">
              <c16:uniqueId val="{00000003-8D8A-4A02-B78C-005B7B5D57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1261904"/>
        <c:axId val="1"/>
      </c:barChart>
      <c:catAx>
        <c:axId val="185126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26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90710382513661"/>
          <c:y val="0.65502183406113534"/>
          <c:w val="8.1422161179307492E-2"/>
          <c:h val="0.1354224471941007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Arial">
    <a:maj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-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A63B-4111-41DC-B4C1-6E2B4724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SAR IZVJEŠĆE  S ANALIZOM ZA 2021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IZVJEŠĆE  S ANALIZOM ZA 2021</dc:title>
  <dc:subject/>
  <dc:creator>mrcc</dc:creator>
  <cp:keywords/>
  <dc:description/>
  <cp:lastModifiedBy>Niko Hrdalo</cp:lastModifiedBy>
  <cp:revision>3</cp:revision>
  <cp:lastPrinted>2021-01-07T13:14:00Z</cp:lastPrinted>
  <dcterms:created xsi:type="dcterms:W3CDTF">2023-05-02T13:09:00Z</dcterms:created>
  <dcterms:modified xsi:type="dcterms:W3CDTF">2023-05-02T13:10:00Z</dcterms:modified>
</cp:coreProperties>
</file>